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03" w:rsidRPr="002B2252" w:rsidRDefault="00AB3903" w:rsidP="00AB3903">
      <w:pPr>
        <w:jc w:val="center"/>
        <w:rPr>
          <w:rFonts w:cs="Arial"/>
          <w:b/>
          <w:sz w:val="36"/>
        </w:rPr>
      </w:pPr>
      <w:bookmarkStart w:id="0" w:name="_GoBack"/>
      <w:bookmarkEnd w:id="0"/>
      <w:r w:rsidRPr="002B2252">
        <w:rPr>
          <w:rFonts w:cs="Arial"/>
          <w:b/>
          <w:noProof/>
          <w:sz w:val="32"/>
          <w:u w:val="single"/>
          <w:vertAlign w:val="superscript"/>
          <w:lang w:eastAsia="en-GB"/>
        </w:rPr>
        <w:drawing>
          <wp:anchor distT="0" distB="0" distL="114300" distR="114300" simplePos="0" relativeHeight="251658240" behindDoc="0" locked="0" layoutInCell="1" allowOverlap="1" wp14:anchorId="4939AB29" wp14:editId="44682321">
            <wp:simplePos x="0" y="0"/>
            <wp:positionH relativeFrom="column">
              <wp:posOffset>5623722</wp:posOffset>
            </wp:positionH>
            <wp:positionV relativeFrom="paragraph">
              <wp:posOffset>9598</wp:posOffset>
            </wp:positionV>
            <wp:extent cx="765175"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765175" cy="769620"/>
                    </a:xfrm>
                    <a:prstGeom prst="rect">
                      <a:avLst/>
                    </a:prstGeom>
                  </pic:spPr>
                </pic:pic>
              </a:graphicData>
            </a:graphic>
            <wp14:sizeRelH relativeFrom="page">
              <wp14:pctWidth>0</wp14:pctWidth>
            </wp14:sizeRelH>
            <wp14:sizeRelV relativeFrom="page">
              <wp14:pctHeight>0</wp14:pctHeight>
            </wp14:sizeRelV>
          </wp:anchor>
        </w:drawing>
      </w:r>
    </w:p>
    <w:p w:rsidR="00464902" w:rsidRPr="002B2252" w:rsidRDefault="0016556F" w:rsidP="00AB3903">
      <w:pPr>
        <w:jc w:val="center"/>
        <w:rPr>
          <w:rFonts w:cs="Arial"/>
          <w:b/>
          <w:sz w:val="40"/>
        </w:rPr>
      </w:pPr>
      <w:r w:rsidRPr="002B2252">
        <w:rPr>
          <w:rFonts w:cs="Arial"/>
          <w:b/>
          <w:sz w:val="40"/>
        </w:rPr>
        <w:t>George Grenville Academy</w:t>
      </w:r>
    </w:p>
    <w:p w:rsidR="0016556F" w:rsidRPr="00B5547F" w:rsidRDefault="0016556F">
      <w:pPr>
        <w:rPr>
          <w:rFonts w:cs="Arial"/>
          <w:sz w:val="32"/>
          <w:u w:val="single"/>
        </w:rPr>
      </w:pPr>
      <w:r w:rsidRPr="00B5547F">
        <w:rPr>
          <w:rFonts w:cs="Arial"/>
          <w:sz w:val="32"/>
          <w:u w:val="single"/>
        </w:rPr>
        <w:t>Pupil Premium Grant Expenditure 201</w:t>
      </w:r>
      <w:r w:rsidR="004A5E0F">
        <w:rPr>
          <w:rFonts w:cs="Arial"/>
          <w:sz w:val="32"/>
          <w:u w:val="single"/>
        </w:rPr>
        <w:t>6-2017</w:t>
      </w:r>
    </w:p>
    <w:tbl>
      <w:tblPr>
        <w:tblStyle w:val="TableGrid"/>
        <w:tblW w:w="0" w:type="auto"/>
        <w:tblLook w:val="04A0" w:firstRow="1" w:lastRow="0" w:firstColumn="1" w:lastColumn="0" w:noHBand="0" w:noVBand="1"/>
      </w:tblPr>
      <w:tblGrid>
        <w:gridCol w:w="8642"/>
        <w:gridCol w:w="1814"/>
      </w:tblGrid>
      <w:tr w:rsidR="00AB3903" w:rsidRPr="00B5547F" w:rsidTr="00472FF4">
        <w:tc>
          <w:tcPr>
            <w:tcW w:w="10456" w:type="dxa"/>
            <w:gridSpan w:val="2"/>
            <w:shd w:val="clear" w:color="auto" w:fill="808080" w:themeFill="background1" w:themeFillShade="80"/>
          </w:tcPr>
          <w:p w:rsidR="00AB3903" w:rsidRPr="00B5547F" w:rsidRDefault="00AB3903" w:rsidP="00AB3903">
            <w:pPr>
              <w:jc w:val="center"/>
              <w:rPr>
                <w:rFonts w:cs="Arial"/>
                <w:b/>
                <w:sz w:val="48"/>
              </w:rPr>
            </w:pPr>
            <w:r w:rsidRPr="00B5547F">
              <w:rPr>
                <w:rFonts w:cs="Arial"/>
                <w:b/>
                <w:color w:val="FFFFFF" w:themeColor="background1"/>
                <w:sz w:val="36"/>
              </w:rPr>
              <w:t>Number of Pupils and Pupil Premium Grant (PPG) Received</w:t>
            </w:r>
          </w:p>
        </w:tc>
      </w:tr>
      <w:tr w:rsidR="00AB3903" w:rsidRPr="00B5547F" w:rsidTr="0075263C">
        <w:trPr>
          <w:trHeight w:val="432"/>
        </w:trPr>
        <w:tc>
          <w:tcPr>
            <w:tcW w:w="8642" w:type="dxa"/>
          </w:tcPr>
          <w:p w:rsidR="00AB3903" w:rsidRPr="00B5547F" w:rsidRDefault="00B5547F">
            <w:pPr>
              <w:rPr>
                <w:rFonts w:cs="Arial"/>
                <w:sz w:val="28"/>
              </w:rPr>
            </w:pPr>
            <w:r w:rsidRPr="00B5547F">
              <w:rPr>
                <w:rFonts w:cs="Arial"/>
                <w:sz w:val="28"/>
              </w:rPr>
              <w:t>Number of pupils on</w:t>
            </w:r>
            <w:r w:rsidR="00AB3903" w:rsidRPr="00B5547F">
              <w:rPr>
                <w:rFonts w:cs="Arial"/>
                <w:sz w:val="28"/>
              </w:rPr>
              <w:t xml:space="preserve"> </w:t>
            </w:r>
            <w:r w:rsidR="00532973">
              <w:rPr>
                <w:rFonts w:cs="Arial"/>
                <w:sz w:val="28"/>
              </w:rPr>
              <w:t>roll full time in September 2015</w:t>
            </w:r>
            <w:r w:rsidR="00AB3903" w:rsidRPr="00B5547F">
              <w:rPr>
                <w:rFonts w:cs="Arial"/>
                <w:sz w:val="28"/>
              </w:rPr>
              <w:t xml:space="preserve"> (Excluding Nursery) </w:t>
            </w:r>
          </w:p>
        </w:tc>
        <w:tc>
          <w:tcPr>
            <w:tcW w:w="1814" w:type="dxa"/>
          </w:tcPr>
          <w:p w:rsidR="00AB3903" w:rsidRPr="006E67D2" w:rsidRDefault="004A5E0F">
            <w:pPr>
              <w:rPr>
                <w:rFonts w:cs="Arial"/>
                <w:sz w:val="28"/>
                <w:szCs w:val="28"/>
              </w:rPr>
            </w:pPr>
            <w:r>
              <w:rPr>
                <w:rFonts w:cs="Arial"/>
                <w:sz w:val="28"/>
                <w:szCs w:val="28"/>
              </w:rPr>
              <w:t>175</w:t>
            </w:r>
          </w:p>
        </w:tc>
      </w:tr>
      <w:tr w:rsidR="00AB3903" w:rsidRPr="00B5547F" w:rsidTr="0075263C">
        <w:trPr>
          <w:trHeight w:val="432"/>
        </w:trPr>
        <w:tc>
          <w:tcPr>
            <w:tcW w:w="8642" w:type="dxa"/>
          </w:tcPr>
          <w:p w:rsidR="00AB3903" w:rsidRPr="00B5547F" w:rsidRDefault="00AB3903">
            <w:pPr>
              <w:rPr>
                <w:rFonts w:cs="Arial"/>
                <w:sz w:val="28"/>
              </w:rPr>
            </w:pPr>
            <w:r w:rsidRPr="00B5547F">
              <w:rPr>
                <w:rFonts w:cs="Arial"/>
                <w:sz w:val="28"/>
              </w:rPr>
              <w:t>Number of pupils eligible for the PPG</w:t>
            </w:r>
          </w:p>
        </w:tc>
        <w:tc>
          <w:tcPr>
            <w:tcW w:w="1814" w:type="dxa"/>
          </w:tcPr>
          <w:p w:rsidR="00AB3903" w:rsidRPr="006E67D2" w:rsidRDefault="004A5E0F">
            <w:pPr>
              <w:rPr>
                <w:rFonts w:cs="Arial"/>
                <w:sz w:val="28"/>
                <w:szCs w:val="28"/>
              </w:rPr>
            </w:pPr>
            <w:r>
              <w:rPr>
                <w:rFonts w:cs="Arial"/>
                <w:sz w:val="28"/>
                <w:szCs w:val="28"/>
              </w:rPr>
              <w:t>55</w:t>
            </w:r>
          </w:p>
        </w:tc>
      </w:tr>
      <w:tr w:rsidR="00AB3903" w:rsidRPr="00B5547F" w:rsidTr="004A5E0F">
        <w:trPr>
          <w:trHeight w:val="432"/>
        </w:trPr>
        <w:tc>
          <w:tcPr>
            <w:tcW w:w="8642" w:type="dxa"/>
            <w:tcBorders>
              <w:bottom w:val="single" w:sz="4" w:space="0" w:color="auto"/>
            </w:tcBorders>
          </w:tcPr>
          <w:p w:rsidR="00AB3903" w:rsidRPr="00B5547F" w:rsidRDefault="00AB3903" w:rsidP="004A5E0F">
            <w:pPr>
              <w:rPr>
                <w:rFonts w:cs="Arial"/>
                <w:sz w:val="28"/>
              </w:rPr>
            </w:pPr>
            <w:r w:rsidRPr="00B5547F">
              <w:rPr>
                <w:rFonts w:cs="Arial"/>
                <w:sz w:val="28"/>
              </w:rPr>
              <w:t xml:space="preserve">Amount of PPG received </w:t>
            </w:r>
            <w:r w:rsidR="004A5E0F">
              <w:rPr>
                <w:rFonts w:cs="Arial"/>
                <w:sz w:val="28"/>
              </w:rPr>
              <w:t>per FSM or ever 6 child</w:t>
            </w:r>
          </w:p>
        </w:tc>
        <w:tc>
          <w:tcPr>
            <w:tcW w:w="1814" w:type="dxa"/>
            <w:tcBorders>
              <w:bottom w:val="single" w:sz="4" w:space="0" w:color="auto"/>
            </w:tcBorders>
          </w:tcPr>
          <w:p w:rsidR="00AB3903" w:rsidRPr="006E67D2" w:rsidRDefault="00532973">
            <w:pPr>
              <w:rPr>
                <w:rFonts w:cs="Arial"/>
                <w:sz w:val="28"/>
                <w:szCs w:val="28"/>
              </w:rPr>
            </w:pPr>
            <w:r w:rsidRPr="006E67D2">
              <w:rPr>
                <w:rFonts w:cs="Arial"/>
                <w:sz w:val="28"/>
                <w:szCs w:val="28"/>
              </w:rPr>
              <w:t>£1,320</w:t>
            </w:r>
          </w:p>
        </w:tc>
      </w:tr>
      <w:tr w:rsidR="004A5E0F" w:rsidRPr="00B5547F" w:rsidTr="004A5E0F">
        <w:trPr>
          <w:trHeight w:val="432"/>
        </w:trPr>
        <w:tc>
          <w:tcPr>
            <w:tcW w:w="8642" w:type="dxa"/>
            <w:tcBorders>
              <w:bottom w:val="single" w:sz="4" w:space="0" w:color="auto"/>
            </w:tcBorders>
          </w:tcPr>
          <w:p w:rsidR="004A5E0F" w:rsidRPr="00B5547F" w:rsidRDefault="004A5E0F" w:rsidP="004A5E0F">
            <w:pPr>
              <w:rPr>
                <w:rFonts w:cs="Arial"/>
                <w:sz w:val="28"/>
              </w:rPr>
            </w:pPr>
            <w:r w:rsidRPr="00B5547F">
              <w:rPr>
                <w:rFonts w:cs="Arial"/>
                <w:sz w:val="28"/>
              </w:rPr>
              <w:t xml:space="preserve">Amount of PPG received </w:t>
            </w:r>
            <w:r>
              <w:rPr>
                <w:rFonts w:cs="Arial"/>
                <w:sz w:val="28"/>
              </w:rPr>
              <w:t>per LAC child (to follow the child)</w:t>
            </w:r>
          </w:p>
        </w:tc>
        <w:tc>
          <w:tcPr>
            <w:tcW w:w="1814" w:type="dxa"/>
            <w:tcBorders>
              <w:bottom w:val="single" w:sz="4" w:space="0" w:color="auto"/>
            </w:tcBorders>
          </w:tcPr>
          <w:p w:rsidR="004A5E0F" w:rsidRPr="006E67D2" w:rsidRDefault="004A5E0F" w:rsidP="004A5E0F">
            <w:pPr>
              <w:rPr>
                <w:rFonts w:cs="Arial"/>
                <w:sz w:val="28"/>
                <w:szCs w:val="28"/>
              </w:rPr>
            </w:pPr>
            <w:r>
              <w:rPr>
                <w:rFonts w:cs="Arial"/>
                <w:sz w:val="28"/>
                <w:szCs w:val="28"/>
              </w:rPr>
              <w:t>£1,900</w:t>
            </w:r>
          </w:p>
        </w:tc>
      </w:tr>
      <w:tr w:rsidR="004A5E0F" w:rsidRPr="00B5547F" w:rsidTr="0075263C">
        <w:trPr>
          <w:trHeight w:val="432"/>
        </w:trPr>
        <w:tc>
          <w:tcPr>
            <w:tcW w:w="8642" w:type="dxa"/>
            <w:tcBorders>
              <w:bottom w:val="double" w:sz="4" w:space="0" w:color="auto"/>
            </w:tcBorders>
          </w:tcPr>
          <w:p w:rsidR="004A5E0F" w:rsidRPr="00B5547F" w:rsidRDefault="004A5E0F" w:rsidP="004A5E0F">
            <w:pPr>
              <w:rPr>
                <w:rFonts w:cs="Arial"/>
                <w:sz w:val="28"/>
              </w:rPr>
            </w:pPr>
            <w:r w:rsidRPr="00B5547F">
              <w:rPr>
                <w:rFonts w:cs="Arial"/>
                <w:sz w:val="28"/>
              </w:rPr>
              <w:t xml:space="preserve">Amount of PPG received </w:t>
            </w:r>
            <w:r>
              <w:rPr>
                <w:rFonts w:cs="Arial"/>
                <w:sz w:val="28"/>
              </w:rPr>
              <w:t>per service child</w:t>
            </w:r>
          </w:p>
        </w:tc>
        <w:tc>
          <w:tcPr>
            <w:tcW w:w="1814" w:type="dxa"/>
            <w:tcBorders>
              <w:bottom w:val="double" w:sz="4" w:space="0" w:color="auto"/>
            </w:tcBorders>
          </w:tcPr>
          <w:p w:rsidR="004A5E0F" w:rsidRPr="006E67D2" w:rsidRDefault="004A5E0F" w:rsidP="004A5E0F">
            <w:pPr>
              <w:rPr>
                <w:rFonts w:cs="Arial"/>
                <w:sz w:val="28"/>
                <w:szCs w:val="28"/>
              </w:rPr>
            </w:pPr>
            <w:r>
              <w:rPr>
                <w:rFonts w:cs="Arial"/>
                <w:sz w:val="28"/>
                <w:szCs w:val="28"/>
              </w:rPr>
              <w:t>£300</w:t>
            </w:r>
          </w:p>
        </w:tc>
      </w:tr>
      <w:tr w:rsidR="00AB3903" w:rsidRPr="00B5547F" w:rsidTr="00472FF4">
        <w:trPr>
          <w:trHeight w:val="554"/>
        </w:trPr>
        <w:tc>
          <w:tcPr>
            <w:tcW w:w="8642" w:type="dxa"/>
            <w:tcBorders>
              <w:top w:val="double" w:sz="4" w:space="0" w:color="auto"/>
              <w:left w:val="double" w:sz="4" w:space="0" w:color="auto"/>
              <w:bottom w:val="double" w:sz="4" w:space="0" w:color="auto"/>
            </w:tcBorders>
            <w:shd w:val="clear" w:color="auto" w:fill="D9D9D9" w:themeFill="background1" w:themeFillShade="D9"/>
          </w:tcPr>
          <w:p w:rsidR="00AB3903" w:rsidRPr="00B5547F" w:rsidRDefault="004A5E0F" w:rsidP="004A5E0F">
            <w:pPr>
              <w:rPr>
                <w:rFonts w:cs="Arial"/>
                <w:sz w:val="28"/>
              </w:rPr>
            </w:pPr>
            <w:r>
              <w:rPr>
                <w:rFonts w:cs="Arial"/>
                <w:sz w:val="28"/>
              </w:rPr>
              <w:t>( Estimate)</w:t>
            </w:r>
            <w:r w:rsidR="00532973">
              <w:rPr>
                <w:rFonts w:cs="Arial"/>
                <w:sz w:val="28"/>
              </w:rPr>
              <w:t xml:space="preserve">Total amount </w:t>
            </w:r>
            <w:r>
              <w:rPr>
                <w:rFonts w:cs="Arial"/>
                <w:sz w:val="28"/>
              </w:rPr>
              <w:t xml:space="preserve">school will </w:t>
            </w:r>
            <w:r w:rsidR="00532973">
              <w:rPr>
                <w:rFonts w:cs="Arial"/>
                <w:sz w:val="28"/>
              </w:rPr>
              <w:t>receive 201</w:t>
            </w:r>
            <w:r>
              <w:rPr>
                <w:rFonts w:cs="Arial"/>
                <w:sz w:val="28"/>
              </w:rPr>
              <w:t>6 - 2017</w:t>
            </w:r>
          </w:p>
        </w:tc>
        <w:tc>
          <w:tcPr>
            <w:tcW w:w="1814" w:type="dxa"/>
            <w:tcBorders>
              <w:top w:val="double" w:sz="4" w:space="0" w:color="auto"/>
              <w:bottom w:val="double" w:sz="4" w:space="0" w:color="auto"/>
              <w:right w:val="double" w:sz="4" w:space="0" w:color="auto"/>
            </w:tcBorders>
            <w:shd w:val="clear" w:color="auto" w:fill="D9D9D9" w:themeFill="background1" w:themeFillShade="D9"/>
          </w:tcPr>
          <w:p w:rsidR="00AB3903" w:rsidRPr="006E67D2" w:rsidRDefault="00532973" w:rsidP="004A5E0F">
            <w:pPr>
              <w:rPr>
                <w:rFonts w:cs="Arial"/>
                <w:sz w:val="28"/>
                <w:szCs w:val="28"/>
              </w:rPr>
            </w:pPr>
            <w:r w:rsidRPr="006E67D2">
              <w:rPr>
                <w:rFonts w:ascii="Calibri" w:hAnsi="Calibri"/>
                <w:color w:val="000000"/>
                <w:sz w:val="28"/>
                <w:szCs w:val="28"/>
              </w:rPr>
              <w:t>£</w:t>
            </w:r>
            <w:r w:rsidR="004A5E0F">
              <w:rPr>
                <w:rFonts w:ascii="Calibri" w:hAnsi="Calibri"/>
                <w:color w:val="000000"/>
                <w:sz w:val="28"/>
                <w:szCs w:val="28"/>
              </w:rPr>
              <w:t>67,</w:t>
            </w:r>
            <w:r w:rsidR="00806773">
              <w:rPr>
                <w:rFonts w:ascii="Calibri" w:hAnsi="Calibri"/>
                <w:color w:val="000000"/>
                <w:sz w:val="28"/>
                <w:szCs w:val="28"/>
              </w:rPr>
              <w:t>2</w:t>
            </w:r>
            <w:r w:rsidR="004A5E0F">
              <w:rPr>
                <w:rFonts w:ascii="Calibri" w:hAnsi="Calibri"/>
                <w:color w:val="000000"/>
                <w:sz w:val="28"/>
                <w:szCs w:val="28"/>
              </w:rPr>
              <w:t>80</w:t>
            </w:r>
          </w:p>
        </w:tc>
      </w:tr>
    </w:tbl>
    <w:p w:rsidR="00AB3903" w:rsidRPr="004A5E0F" w:rsidRDefault="00AB3903">
      <w:pPr>
        <w:rPr>
          <w:rFonts w:cs="Arial"/>
          <w:sz w:val="12"/>
          <w:u w:val="single"/>
          <w:vertAlign w:val="superscript"/>
        </w:rPr>
      </w:pPr>
    </w:p>
    <w:tbl>
      <w:tblPr>
        <w:tblStyle w:val="TableGrid"/>
        <w:tblW w:w="0" w:type="auto"/>
        <w:tblLook w:val="04A0" w:firstRow="1" w:lastRow="0" w:firstColumn="1" w:lastColumn="0" w:noHBand="0" w:noVBand="1"/>
      </w:tblPr>
      <w:tblGrid>
        <w:gridCol w:w="4815"/>
        <w:gridCol w:w="2693"/>
        <w:gridCol w:w="2948"/>
      </w:tblGrid>
      <w:tr w:rsidR="00766D8B" w:rsidRPr="00B5547F" w:rsidTr="00737FE8">
        <w:tc>
          <w:tcPr>
            <w:tcW w:w="10456" w:type="dxa"/>
            <w:gridSpan w:val="3"/>
            <w:shd w:val="clear" w:color="auto" w:fill="808080" w:themeFill="background1" w:themeFillShade="80"/>
          </w:tcPr>
          <w:p w:rsidR="00766D8B" w:rsidRDefault="00766D8B" w:rsidP="00B5547F">
            <w:pPr>
              <w:jc w:val="center"/>
              <w:rPr>
                <w:rFonts w:cs="Arial"/>
                <w:b/>
                <w:color w:val="FFFFFF" w:themeColor="background1"/>
                <w:sz w:val="36"/>
              </w:rPr>
            </w:pPr>
            <w:r w:rsidRPr="00B5547F">
              <w:rPr>
                <w:rFonts w:cs="Arial"/>
                <w:b/>
                <w:color w:val="FFFFFF" w:themeColor="background1"/>
                <w:sz w:val="36"/>
              </w:rPr>
              <w:t>Performance of Pupils Eligible for Pupil Premium Grant</w:t>
            </w:r>
          </w:p>
          <w:p w:rsidR="004A5E0F" w:rsidRPr="00B5547F" w:rsidRDefault="004A5E0F" w:rsidP="00B5547F">
            <w:pPr>
              <w:jc w:val="center"/>
              <w:rPr>
                <w:rFonts w:cs="Arial"/>
                <w:b/>
                <w:color w:val="FFFFFF" w:themeColor="background1"/>
                <w:sz w:val="28"/>
              </w:rPr>
            </w:pPr>
            <w:r>
              <w:rPr>
                <w:rFonts w:cs="Arial"/>
                <w:b/>
                <w:color w:val="FFFFFF" w:themeColor="background1"/>
                <w:sz w:val="36"/>
              </w:rPr>
              <w:t>for the school year 2015 - 2016</w:t>
            </w:r>
          </w:p>
        </w:tc>
      </w:tr>
      <w:tr w:rsidR="00766D8B" w:rsidRPr="00B5547F" w:rsidTr="00766D8B">
        <w:tc>
          <w:tcPr>
            <w:tcW w:w="4815" w:type="dxa"/>
            <w:shd w:val="clear" w:color="auto" w:fill="D9D9D9" w:themeFill="background1" w:themeFillShade="D9"/>
          </w:tcPr>
          <w:p w:rsidR="00766D8B" w:rsidRPr="00766D8B" w:rsidRDefault="00600A13" w:rsidP="00600A13">
            <w:pPr>
              <w:rPr>
                <w:rFonts w:cs="Arial"/>
                <w:sz w:val="28"/>
                <w:szCs w:val="28"/>
              </w:rPr>
            </w:pPr>
            <w:r>
              <w:rPr>
                <w:rFonts w:cs="Arial"/>
                <w:sz w:val="28"/>
                <w:szCs w:val="28"/>
              </w:rPr>
              <w:t>Attainment</w:t>
            </w:r>
          </w:p>
        </w:tc>
        <w:tc>
          <w:tcPr>
            <w:tcW w:w="2693" w:type="dxa"/>
            <w:shd w:val="clear" w:color="auto" w:fill="D9D9D9" w:themeFill="background1" w:themeFillShade="D9"/>
          </w:tcPr>
          <w:p w:rsidR="00766D8B" w:rsidRDefault="00766D8B" w:rsidP="00766D8B">
            <w:pPr>
              <w:jc w:val="center"/>
              <w:rPr>
                <w:rFonts w:cs="Arial"/>
                <w:b/>
                <w:sz w:val="28"/>
              </w:rPr>
            </w:pPr>
            <w:r>
              <w:rPr>
                <w:rFonts w:cs="Arial"/>
                <w:b/>
                <w:sz w:val="28"/>
              </w:rPr>
              <w:t>George Grenville</w:t>
            </w:r>
          </w:p>
          <w:p w:rsidR="00766D8B" w:rsidRPr="00766D8B" w:rsidRDefault="00766D8B" w:rsidP="00766D8B">
            <w:pPr>
              <w:jc w:val="center"/>
              <w:rPr>
                <w:rFonts w:cs="Arial"/>
                <w:b/>
                <w:sz w:val="28"/>
              </w:rPr>
            </w:pPr>
            <w:r w:rsidRPr="00766D8B">
              <w:rPr>
                <w:rFonts w:cs="Arial"/>
                <w:b/>
                <w:sz w:val="28"/>
              </w:rPr>
              <w:t>Pupils eligible for PP</w:t>
            </w:r>
          </w:p>
          <w:p w:rsidR="00766D8B" w:rsidRPr="00766D8B" w:rsidRDefault="00766D8B" w:rsidP="00766D8B">
            <w:pPr>
              <w:jc w:val="center"/>
              <w:rPr>
                <w:rFonts w:cs="Arial"/>
                <w:b/>
                <w:sz w:val="28"/>
              </w:rPr>
            </w:pPr>
            <w:r w:rsidRPr="00766D8B">
              <w:rPr>
                <w:rFonts w:cs="Arial"/>
                <w:b/>
                <w:sz w:val="28"/>
              </w:rPr>
              <w:t>% reaching expected standard</w:t>
            </w:r>
          </w:p>
        </w:tc>
        <w:tc>
          <w:tcPr>
            <w:tcW w:w="2948" w:type="dxa"/>
            <w:shd w:val="clear" w:color="auto" w:fill="D9D9D9" w:themeFill="background1" w:themeFillShade="D9"/>
          </w:tcPr>
          <w:p w:rsidR="00766D8B" w:rsidRDefault="00766D8B" w:rsidP="00766D8B">
            <w:pPr>
              <w:ind w:left="-113" w:right="-113"/>
              <w:jc w:val="center"/>
              <w:rPr>
                <w:rFonts w:cs="Arial"/>
                <w:b/>
                <w:sz w:val="28"/>
              </w:rPr>
            </w:pPr>
            <w:r w:rsidRPr="00766D8B">
              <w:rPr>
                <w:rFonts w:cs="Arial"/>
                <w:b/>
                <w:sz w:val="28"/>
              </w:rPr>
              <w:t xml:space="preserve">National average </w:t>
            </w:r>
          </w:p>
          <w:p w:rsidR="00766D8B" w:rsidRPr="00766D8B" w:rsidRDefault="00766D8B" w:rsidP="00766D8B">
            <w:pPr>
              <w:ind w:left="-113" w:right="-113"/>
              <w:jc w:val="center"/>
              <w:rPr>
                <w:rFonts w:cs="Arial"/>
                <w:b/>
                <w:sz w:val="28"/>
              </w:rPr>
            </w:pPr>
            <w:r w:rsidRPr="00766D8B">
              <w:rPr>
                <w:rFonts w:cs="Arial"/>
                <w:b/>
                <w:sz w:val="28"/>
              </w:rPr>
              <w:t>pupils not eligible for PP</w:t>
            </w:r>
          </w:p>
          <w:p w:rsidR="00766D8B" w:rsidRPr="00766D8B" w:rsidRDefault="00766D8B" w:rsidP="00766D8B">
            <w:pPr>
              <w:jc w:val="center"/>
              <w:rPr>
                <w:rFonts w:cs="Arial"/>
                <w:b/>
                <w:sz w:val="28"/>
              </w:rPr>
            </w:pPr>
            <w:r w:rsidRPr="00766D8B">
              <w:rPr>
                <w:rFonts w:cs="Arial"/>
                <w:b/>
                <w:sz w:val="28"/>
              </w:rPr>
              <w:t>% reaching expected standard</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End of EYFS Good level of development</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25%</w:t>
            </w:r>
          </w:p>
        </w:tc>
        <w:tc>
          <w:tcPr>
            <w:tcW w:w="2948" w:type="dxa"/>
            <w:shd w:val="clear" w:color="auto" w:fill="FFFFFF" w:themeFill="background1"/>
          </w:tcPr>
          <w:p w:rsidR="00766D8B" w:rsidRPr="00766D8B" w:rsidRDefault="00766D8B" w:rsidP="00766D8B">
            <w:pPr>
              <w:jc w:val="center"/>
              <w:rPr>
                <w:rFonts w:cs="Arial"/>
                <w:sz w:val="28"/>
                <w:szCs w:val="28"/>
              </w:rPr>
            </w:pPr>
            <w:r>
              <w:rPr>
                <w:rFonts w:cs="Arial"/>
                <w:sz w:val="28"/>
                <w:szCs w:val="28"/>
              </w:rPr>
              <w:t>66%</w:t>
            </w:r>
          </w:p>
        </w:tc>
      </w:tr>
      <w:tr w:rsidR="00600A13" w:rsidRPr="00B5547F" w:rsidTr="00600A13">
        <w:tc>
          <w:tcPr>
            <w:tcW w:w="4815" w:type="dxa"/>
            <w:shd w:val="clear" w:color="auto" w:fill="F2F2F2" w:themeFill="background1" w:themeFillShade="F2"/>
          </w:tcPr>
          <w:p w:rsidR="00600A13" w:rsidRPr="00766D8B"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600A13" w:rsidP="00766D8B">
            <w:pPr>
              <w:rPr>
                <w:rFonts w:cs="Arial"/>
                <w:sz w:val="28"/>
                <w:szCs w:val="28"/>
              </w:rPr>
            </w:pPr>
            <w:r>
              <w:rPr>
                <w:rFonts w:cs="Arial"/>
                <w:sz w:val="28"/>
                <w:szCs w:val="28"/>
              </w:rPr>
              <w:t>Phonics E</w:t>
            </w:r>
            <w:r w:rsidR="00766D8B" w:rsidRPr="00766D8B">
              <w:rPr>
                <w:rFonts w:cs="Arial"/>
                <w:sz w:val="28"/>
                <w:szCs w:val="28"/>
              </w:rPr>
              <w:t>nd of Year 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75%</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83</w:t>
            </w:r>
            <w:r w:rsidR="00766D8B">
              <w:rPr>
                <w:rFonts w:cs="Arial"/>
                <w:sz w:val="28"/>
                <w:szCs w:val="28"/>
              </w:rPr>
              <w:t>%</w:t>
            </w:r>
          </w:p>
        </w:tc>
      </w:tr>
      <w:tr w:rsidR="00600A13" w:rsidRPr="00B5547F" w:rsidTr="00600A13">
        <w:tc>
          <w:tcPr>
            <w:tcW w:w="4815" w:type="dxa"/>
            <w:shd w:val="clear" w:color="auto" w:fill="F2F2F2" w:themeFill="background1" w:themeFillShade="F2"/>
          </w:tcPr>
          <w:p w:rsidR="00600A13"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Reading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29%</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78%</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Writing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14%</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70%</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Maths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43%</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77%</w:t>
            </w:r>
          </w:p>
        </w:tc>
      </w:tr>
      <w:tr w:rsidR="00600A13" w:rsidRPr="00B5547F" w:rsidTr="00600A13">
        <w:tc>
          <w:tcPr>
            <w:tcW w:w="4815" w:type="dxa"/>
            <w:shd w:val="clear" w:color="auto" w:fill="F2F2F2" w:themeFill="background1" w:themeFillShade="F2"/>
          </w:tcPr>
          <w:p w:rsidR="00600A13" w:rsidRPr="00766D8B"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Reading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50%</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71</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Writing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67%</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79</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Maths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50%</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71</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 xml:space="preserve">Combined R, W &amp; M </w:t>
            </w:r>
            <w:r w:rsidR="00600A13">
              <w:rPr>
                <w:rFonts w:cs="Arial"/>
                <w:sz w:val="28"/>
                <w:szCs w:val="28"/>
              </w:rPr>
              <w:t xml:space="preserve">End of </w:t>
            </w:r>
            <w:r w:rsidRPr="00766D8B">
              <w:rPr>
                <w:rFonts w:cs="Arial"/>
                <w:sz w:val="28"/>
                <w:szCs w:val="28"/>
              </w:rPr>
              <w:t>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33%</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60</w:t>
            </w:r>
            <w:r w:rsidR="00766D8B">
              <w:rPr>
                <w:rFonts w:cs="Arial"/>
                <w:sz w:val="28"/>
                <w:szCs w:val="28"/>
              </w:rPr>
              <w:t>%</w:t>
            </w:r>
          </w:p>
        </w:tc>
      </w:tr>
    </w:tbl>
    <w:p w:rsidR="00600A13" w:rsidRPr="004A5E0F" w:rsidRDefault="001A3144" w:rsidP="0075263C">
      <w:pPr>
        <w:rPr>
          <w:rFonts w:cs="Arial"/>
          <w:sz w:val="10"/>
          <w:vertAlign w:val="superscript"/>
        </w:rPr>
      </w:pPr>
      <w:r w:rsidRPr="0075263C">
        <w:rPr>
          <w:rFonts w:cs="Arial"/>
          <w:sz w:val="32"/>
          <w:vertAlign w:val="superscript"/>
        </w:rPr>
        <w:t xml:space="preserve">  </w:t>
      </w:r>
    </w:p>
    <w:tbl>
      <w:tblPr>
        <w:tblStyle w:val="TableGrid"/>
        <w:tblW w:w="0" w:type="auto"/>
        <w:tblLook w:val="04A0" w:firstRow="1" w:lastRow="0" w:firstColumn="1" w:lastColumn="0" w:noHBand="0" w:noVBand="1"/>
      </w:tblPr>
      <w:tblGrid>
        <w:gridCol w:w="2830"/>
        <w:gridCol w:w="7626"/>
      </w:tblGrid>
      <w:tr w:rsidR="00600A13" w:rsidRPr="00B5547F" w:rsidTr="002A0A3E">
        <w:tc>
          <w:tcPr>
            <w:tcW w:w="2830" w:type="dxa"/>
            <w:shd w:val="clear" w:color="auto" w:fill="D9D9D9" w:themeFill="background1" w:themeFillShade="D9"/>
          </w:tcPr>
          <w:p w:rsidR="00600A13" w:rsidRPr="00766D8B" w:rsidRDefault="00600A13" w:rsidP="00944982">
            <w:pPr>
              <w:rPr>
                <w:rFonts w:cs="Arial"/>
                <w:sz w:val="28"/>
                <w:szCs w:val="28"/>
              </w:rPr>
            </w:pPr>
            <w:r>
              <w:rPr>
                <w:rFonts w:cs="Arial"/>
                <w:sz w:val="28"/>
                <w:szCs w:val="28"/>
              </w:rPr>
              <w:t>Progress</w:t>
            </w:r>
          </w:p>
        </w:tc>
        <w:tc>
          <w:tcPr>
            <w:tcW w:w="7626" w:type="dxa"/>
            <w:shd w:val="clear" w:color="auto" w:fill="D9D9D9" w:themeFill="background1" w:themeFillShade="D9"/>
          </w:tcPr>
          <w:p w:rsidR="00600A13" w:rsidRDefault="00600A13" w:rsidP="00944982">
            <w:pPr>
              <w:jc w:val="center"/>
              <w:rPr>
                <w:rFonts w:cs="Arial"/>
                <w:b/>
                <w:sz w:val="28"/>
              </w:rPr>
            </w:pPr>
            <w:r>
              <w:rPr>
                <w:rFonts w:cs="Arial"/>
                <w:b/>
                <w:sz w:val="28"/>
              </w:rPr>
              <w:t>George Grenville</w:t>
            </w:r>
          </w:p>
          <w:p w:rsidR="00600A13" w:rsidRPr="00766D8B" w:rsidRDefault="00600A13" w:rsidP="00944982">
            <w:pPr>
              <w:jc w:val="center"/>
              <w:rPr>
                <w:rFonts w:cs="Arial"/>
                <w:b/>
                <w:sz w:val="28"/>
              </w:rPr>
            </w:pPr>
            <w:r w:rsidRPr="00766D8B">
              <w:rPr>
                <w:rFonts w:cs="Arial"/>
                <w:b/>
                <w:sz w:val="28"/>
              </w:rPr>
              <w:t>Pupils eligible for PP</w:t>
            </w:r>
          </w:p>
          <w:p w:rsidR="00600A13" w:rsidRPr="00766D8B" w:rsidRDefault="00600A13" w:rsidP="002A0A3E">
            <w:pPr>
              <w:jc w:val="center"/>
              <w:rPr>
                <w:rFonts w:cs="Arial"/>
                <w:b/>
                <w:sz w:val="28"/>
              </w:rPr>
            </w:pPr>
            <w:r w:rsidRPr="00766D8B">
              <w:rPr>
                <w:rFonts w:cs="Arial"/>
                <w:b/>
                <w:sz w:val="28"/>
              </w:rPr>
              <w:t xml:space="preserve">% </w:t>
            </w:r>
            <w:r w:rsidR="002A0A3E">
              <w:rPr>
                <w:rFonts w:cs="Arial"/>
                <w:b/>
                <w:sz w:val="28"/>
              </w:rPr>
              <w:t>making at least expected progress from starting points</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KS1 </w:t>
            </w:r>
            <w:r w:rsidR="00600A13" w:rsidRPr="00766D8B">
              <w:rPr>
                <w:rFonts w:cs="Arial"/>
                <w:sz w:val="28"/>
                <w:szCs w:val="28"/>
              </w:rPr>
              <w:t xml:space="preserve">Reading </w:t>
            </w:r>
          </w:p>
        </w:tc>
        <w:tc>
          <w:tcPr>
            <w:tcW w:w="7626" w:type="dxa"/>
            <w:shd w:val="clear" w:color="auto" w:fill="FFFFFF" w:themeFill="background1"/>
          </w:tcPr>
          <w:p w:rsidR="00600A13" w:rsidRPr="00766D8B" w:rsidRDefault="002A0A3E" w:rsidP="00944982">
            <w:pPr>
              <w:jc w:val="center"/>
              <w:rPr>
                <w:rFonts w:cs="Arial"/>
                <w:sz w:val="28"/>
                <w:szCs w:val="28"/>
              </w:rPr>
            </w:pPr>
            <w:r>
              <w:rPr>
                <w:rFonts w:cs="Arial"/>
                <w:sz w:val="28"/>
                <w:szCs w:val="28"/>
              </w:rPr>
              <w:t>100%</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KS1 Writing</w:t>
            </w:r>
          </w:p>
        </w:tc>
        <w:tc>
          <w:tcPr>
            <w:tcW w:w="7626" w:type="dxa"/>
            <w:shd w:val="clear" w:color="auto" w:fill="FFFFFF" w:themeFill="background1"/>
          </w:tcPr>
          <w:p w:rsidR="00600A13" w:rsidRPr="00766D8B" w:rsidRDefault="002A0A3E" w:rsidP="002A0A3E">
            <w:pPr>
              <w:jc w:val="center"/>
              <w:rPr>
                <w:rFonts w:cs="Arial"/>
                <w:sz w:val="28"/>
                <w:szCs w:val="28"/>
              </w:rPr>
            </w:pPr>
            <w:r>
              <w:rPr>
                <w:rFonts w:cs="Arial"/>
                <w:sz w:val="28"/>
                <w:szCs w:val="28"/>
              </w:rPr>
              <w:t>100%</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KS1 Maths</w:t>
            </w:r>
            <w:r w:rsidR="00600A13" w:rsidRPr="00766D8B">
              <w:rPr>
                <w:rFonts w:cs="Arial"/>
                <w:sz w:val="28"/>
                <w:szCs w:val="28"/>
              </w:rPr>
              <w:t xml:space="preserve"> </w:t>
            </w:r>
          </w:p>
        </w:tc>
        <w:tc>
          <w:tcPr>
            <w:tcW w:w="7626" w:type="dxa"/>
            <w:shd w:val="clear" w:color="auto" w:fill="FFFFFF" w:themeFill="background1"/>
          </w:tcPr>
          <w:p w:rsidR="00600A13" w:rsidRPr="00766D8B" w:rsidRDefault="002A0A3E" w:rsidP="00944982">
            <w:pPr>
              <w:jc w:val="center"/>
              <w:rPr>
                <w:rFonts w:cs="Arial"/>
                <w:sz w:val="28"/>
                <w:szCs w:val="28"/>
              </w:rPr>
            </w:pPr>
            <w:r>
              <w:rPr>
                <w:rFonts w:cs="Arial"/>
                <w:sz w:val="28"/>
                <w:szCs w:val="28"/>
              </w:rPr>
              <w:t>71</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Reading </w:t>
            </w:r>
          </w:p>
        </w:tc>
        <w:tc>
          <w:tcPr>
            <w:tcW w:w="7626" w:type="dxa"/>
            <w:shd w:val="clear" w:color="auto" w:fill="FFFFFF" w:themeFill="background1"/>
          </w:tcPr>
          <w:p w:rsidR="00600A13" w:rsidRPr="00766D8B" w:rsidRDefault="002A0A3E" w:rsidP="00600A13">
            <w:pPr>
              <w:jc w:val="center"/>
              <w:rPr>
                <w:rFonts w:cs="Arial"/>
                <w:b/>
                <w:sz w:val="28"/>
              </w:rPr>
            </w:pPr>
            <w:r>
              <w:rPr>
                <w:rFonts w:cs="Arial"/>
                <w:sz w:val="28"/>
                <w:szCs w:val="28"/>
              </w:rPr>
              <w:t>75</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Writing </w:t>
            </w:r>
          </w:p>
        </w:tc>
        <w:tc>
          <w:tcPr>
            <w:tcW w:w="7626" w:type="dxa"/>
            <w:shd w:val="clear" w:color="auto" w:fill="FFFFFF" w:themeFill="background1"/>
          </w:tcPr>
          <w:p w:rsidR="00600A13" w:rsidRPr="00766D8B" w:rsidRDefault="002A0A3E" w:rsidP="00600A13">
            <w:pPr>
              <w:jc w:val="center"/>
              <w:rPr>
                <w:rFonts w:cs="Arial"/>
                <w:sz w:val="28"/>
                <w:szCs w:val="28"/>
              </w:rPr>
            </w:pPr>
            <w:r>
              <w:rPr>
                <w:rFonts w:cs="Arial"/>
                <w:sz w:val="28"/>
                <w:szCs w:val="28"/>
              </w:rPr>
              <w:t>75</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Maths </w:t>
            </w:r>
          </w:p>
        </w:tc>
        <w:tc>
          <w:tcPr>
            <w:tcW w:w="7626" w:type="dxa"/>
            <w:shd w:val="clear" w:color="auto" w:fill="FFFFFF" w:themeFill="background1"/>
          </w:tcPr>
          <w:p w:rsidR="00600A13" w:rsidRPr="00766D8B" w:rsidRDefault="002A0A3E" w:rsidP="00600A13">
            <w:pPr>
              <w:jc w:val="center"/>
              <w:rPr>
                <w:rFonts w:cs="Arial"/>
                <w:sz w:val="28"/>
                <w:szCs w:val="28"/>
              </w:rPr>
            </w:pPr>
            <w:r>
              <w:rPr>
                <w:rFonts w:cs="Arial"/>
                <w:sz w:val="28"/>
                <w:szCs w:val="28"/>
              </w:rPr>
              <w:t>100</w:t>
            </w:r>
            <w:r w:rsidR="00600A13">
              <w:rPr>
                <w:rFonts w:cs="Arial"/>
                <w:sz w:val="28"/>
                <w:szCs w:val="28"/>
              </w:rPr>
              <w:t>%</w:t>
            </w:r>
          </w:p>
        </w:tc>
      </w:tr>
    </w:tbl>
    <w:p w:rsidR="00F42F14" w:rsidRPr="002B2252" w:rsidRDefault="0055027C" w:rsidP="00F42F14">
      <w:pPr>
        <w:pStyle w:val="Default"/>
        <w:jc w:val="center"/>
        <w:rPr>
          <w:b/>
          <w:bCs/>
          <w:color w:val="auto"/>
          <w:sz w:val="32"/>
          <w:szCs w:val="22"/>
          <w:u w:val="single"/>
        </w:rPr>
      </w:pPr>
      <w:r>
        <w:rPr>
          <w:rFonts w:cs="Arial"/>
          <w:sz w:val="32"/>
          <w:vertAlign w:val="superscript"/>
        </w:rPr>
        <w:br w:type="page"/>
      </w:r>
      <w:r w:rsidR="00F42F14" w:rsidRPr="002B2252">
        <w:rPr>
          <w:b/>
          <w:bCs/>
          <w:color w:val="auto"/>
          <w:sz w:val="32"/>
          <w:szCs w:val="22"/>
          <w:u w:val="single"/>
        </w:rPr>
        <w:lastRenderedPageBreak/>
        <w:t>Summary of Pupil Premium-related Action Plan 201</w:t>
      </w:r>
      <w:r w:rsidR="002E2B64">
        <w:rPr>
          <w:b/>
          <w:bCs/>
          <w:color w:val="auto"/>
          <w:sz w:val="32"/>
          <w:szCs w:val="22"/>
          <w:u w:val="single"/>
        </w:rPr>
        <w:t>6/17</w:t>
      </w:r>
    </w:p>
    <w:p w:rsid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 xml:space="preserve">Pupil Premium is money that the government has allocated to schools to support children from low-income families. This includes children who are currently eligible for free school meals (FSM), or have been at any time in the last six years, </w:t>
      </w:r>
      <w:r w:rsidR="002E2B64">
        <w:rPr>
          <w:rFonts w:ascii="Calibri" w:hAnsi="Calibri" w:cs="Calibri"/>
          <w:bCs/>
          <w:sz w:val="28"/>
          <w:szCs w:val="22"/>
          <w:lang w:eastAsia="en-US"/>
        </w:rPr>
        <w:t xml:space="preserve">service children </w:t>
      </w:r>
      <w:r>
        <w:rPr>
          <w:rFonts w:ascii="Calibri" w:hAnsi="Calibri" w:cs="Calibri"/>
          <w:bCs/>
          <w:sz w:val="28"/>
          <w:szCs w:val="22"/>
          <w:lang w:eastAsia="en-US"/>
        </w:rPr>
        <w:t>and children who have been looked after continuously for more than six months.</w:t>
      </w:r>
    </w:p>
    <w:p w:rsid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 xml:space="preserve">The </w:t>
      </w:r>
      <w:r w:rsidR="00C005B8">
        <w:rPr>
          <w:rFonts w:ascii="Calibri" w:hAnsi="Calibri" w:cs="Calibri"/>
          <w:bCs/>
          <w:sz w:val="28"/>
          <w:szCs w:val="22"/>
          <w:lang w:eastAsia="en-US"/>
        </w:rPr>
        <w:t>g</w:t>
      </w:r>
      <w:r>
        <w:rPr>
          <w:rFonts w:ascii="Calibri" w:hAnsi="Calibri" w:cs="Calibri"/>
          <w:bCs/>
          <w:sz w:val="28"/>
          <w:szCs w:val="22"/>
          <w:lang w:eastAsia="en-US"/>
        </w:rPr>
        <w:t xml:space="preserve">overnment believes that the </w:t>
      </w:r>
      <w:r w:rsidR="00C005B8">
        <w:rPr>
          <w:rFonts w:ascii="Calibri" w:hAnsi="Calibri" w:cs="Calibri"/>
          <w:bCs/>
          <w:sz w:val="28"/>
          <w:szCs w:val="22"/>
          <w:lang w:eastAsia="en-US"/>
        </w:rPr>
        <w:t>Pupil P</w:t>
      </w:r>
      <w:r>
        <w:rPr>
          <w:rFonts w:ascii="Calibri" w:hAnsi="Calibri" w:cs="Calibri"/>
          <w:bCs/>
          <w:sz w:val="28"/>
          <w:szCs w:val="22"/>
          <w:lang w:eastAsia="en-US"/>
        </w:rPr>
        <w:t>remium, which is additional to main school funding, is the best way to address the current underlying inequalities between children eligible for free school meals (FSM) and their wealthier peers</w:t>
      </w:r>
      <w:r w:rsidR="00C005B8">
        <w:rPr>
          <w:rFonts w:ascii="Calibri" w:hAnsi="Calibri" w:cs="Calibri"/>
          <w:bCs/>
          <w:sz w:val="28"/>
          <w:szCs w:val="22"/>
          <w:lang w:eastAsia="en-US"/>
        </w:rPr>
        <w:t>,</w:t>
      </w:r>
      <w:r>
        <w:rPr>
          <w:rFonts w:ascii="Calibri" w:hAnsi="Calibri" w:cs="Calibri"/>
          <w:bCs/>
          <w:sz w:val="28"/>
          <w:szCs w:val="22"/>
          <w:lang w:eastAsia="en-US"/>
        </w:rPr>
        <w:t xml:space="preserve"> by ensuring that funding to tackle disadvantage reaches the pupils who need it most.</w:t>
      </w:r>
    </w:p>
    <w:p w:rsidR="00F42F14" w:rsidRP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 xml:space="preserve">It is for schools to decide how the </w:t>
      </w:r>
      <w:r w:rsidR="00C005B8">
        <w:rPr>
          <w:rFonts w:ascii="Calibri" w:hAnsi="Calibri" w:cs="Calibri"/>
          <w:bCs/>
          <w:sz w:val="28"/>
          <w:szCs w:val="22"/>
          <w:lang w:eastAsia="en-US"/>
        </w:rPr>
        <w:t>Pupil P</w:t>
      </w:r>
      <w:r>
        <w:rPr>
          <w:rFonts w:ascii="Calibri" w:hAnsi="Calibri" w:cs="Calibri"/>
          <w:bCs/>
          <w:sz w:val="28"/>
          <w:szCs w:val="22"/>
          <w:lang w:eastAsia="en-US"/>
        </w:rPr>
        <w:t xml:space="preserve">remium is spent, since they are best placed to assess what additional provision should be made for the individual pupils within their responsibility. </w:t>
      </w:r>
    </w:p>
    <w:p w:rsidR="0055027C" w:rsidRPr="00F42F14" w:rsidRDefault="0055027C" w:rsidP="0055027C">
      <w:pPr>
        <w:rPr>
          <w:rFonts w:cs="Arial"/>
          <w:sz w:val="32"/>
          <w:u w:val="single"/>
        </w:rPr>
      </w:pPr>
      <w:r w:rsidRPr="00F42F14">
        <w:rPr>
          <w:rFonts w:cs="Arial"/>
          <w:sz w:val="32"/>
          <w:u w:val="single"/>
        </w:rPr>
        <w:t>Objectives in spending PPG</w:t>
      </w:r>
    </w:p>
    <w:p w:rsidR="0055027C" w:rsidRPr="00472FF4" w:rsidRDefault="0055027C" w:rsidP="0055027C">
      <w:pPr>
        <w:rPr>
          <w:rFonts w:cs="Arial"/>
          <w:sz w:val="28"/>
        </w:rPr>
      </w:pPr>
      <w:r w:rsidRPr="00472FF4">
        <w:rPr>
          <w:rFonts w:cs="Arial"/>
          <w:sz w:val="28"/>
        </w:rPr>
        <w:t>Raising attainment and achievement to at least expected progress through:</w:t>
      </w:r>
    </w:p>
    <w:p w:rsidR="005B59B2" w:rsidRDefault="005B59B2" w:rsidP="0055027C">
      <w:pPr>
        <w:pStyle w:val="ListParagraph"/>
        <w:numPr>
          <w:ilvl w:val="0"/>
          <w:numId w:val="1"/>
        </w:numPr>
        <w:rPr>
          <w:rFonts w:cs="Arial"/>
          <w:sz w:val="28"/>
        </w:rPr>
      </w:pPr>
      <w:r>
        <w:rPr>
          <w:rFonts w:cs="Arial"/>
          <w:sz w:val="28"/>
        </w:rPr>
        <w:t>Targeted interventions relating to identified barriers to learning</w:t>
      </w:r>
    </w:p>
    <w:p w:rsidR="0055027C" w:rsidRPr="00472FF4" w:rsidRDefault="0055027C" w:rsidP="0055027C">
      <w:pPr>
        <w:pStyle w:val="ListParagraph"/>
        <w:numPr>
          <w:ilvl w:val="0"/>
          <w:numId w:val="1"/>
        </w:numPr>
        <w:rPr>
          <w:rFonts w:cs="Arial"/>
          <w:sz w:val="28"/>
        </w:rPr>
      </w:pPr>
      <w:r w:rsidRPr="00472FF4">
        <w:rPr>
          <w:rFonts w:cs="Arial"/>
          <w:sz w:val="28"/>
        </w:rPr>
        <w:t>Targeted and quality first teaching</w:t>
      </w:r>
    </w:p>
    <w:p w:rsidR="0055027C" w:rsidRPr="00472FF4" w:rsidRDefault="0055027C" w:rsidP="0055027C">
      <w:pPr>
        <w:pStyle w:val="ListParagraph"/>
        <w:numPr>
          <w:ilvl w:val="0"/>
          <w:numId w:val="1"/>
        </w:numPr>
        <w:rPr>
          <w:rFonts w:cs="Arial"/>
          <w:sz w:val="28"/>
        </w:rPr>
      </w:pPr>
      <w:r w:rsidRPr="00472FF4">
        <w:rPr>
          <w:rFonts w:cs="Arial"/>
          <w:sz w:val="28"/>
        </w:rPr>
        <w:t>Planned and targeted interventions</w:t>
      </w:r>
    </w:p>
    <w:p w:rsidR="0055027C" w:rsidRPr="00472FF4" w:rsidRDefault="0055027C" w:rsidP="0055027C">
      <w:pPr>
        <w:pStyle w:val="ListParagraph"/>
        <w:numPr>
          <w:ilvl w:val="0"/>
          <w:numId w:val="1"/>
        </w:numPr>
        <w:rPr>
          <w:rFonts w:cs="Arial"/>
          <w:sz w:val="28"/>
        </w:rPr>
      </w:pPr>
      <w:r w:rsidRPr="00472FF4">
        <w:rPr>
          <w:rFonts w:cs="Arial"/>
          <w:sz w:val="28"/>
        </w:rPr>
        <w:t>Social, emotional support to develop self-esteem and confidence</w:t>
      </w:r>
    </w:p>
    <w:p w:rsidR="0055027C" w:rsidRDefault="0055027C" w:rsidP="0055027C">
      <w:pPr>
        <w:pStyle w:val="ListParagraph"/>
        <w:numPr>
          <w:ilvl w:val="0"/>
          <w:numId w:val="1"/>
        </w:numPr>
        <w:rPr>
          <w:rFonts w:cs="Arial"/>
          <w:sz w:val="28"/>
        </w:rPr>
      </w:pPr>
      <w:r w:rsidRPr="00472FF4">
        <w:rPr>
          <w:rFonts w:cs="Arial"/>
          <w:sz w:val="28"/>
        </w:rPr>
        <w:t>Enrichment activities</w:t>
      </w:r>
    </w:p>
    <w:p w:rsidR="0055027C" w:rsidRPr="0055027C" w:rsidRDefault="0055027C" w:rsidP="0055027C">
      <w:pPr>
        <w:pStyle w:val="ListParagraph"/>
        <w:numPr>
          <w:ilvl w:val="0"/>
          <w:numId w:val="1"/>
        </w:numPr>
        <w:rPr>
          <w:rFonts w:cs="Arial"/>
          <w:sz w:val="28"/>
        </w:rPr>
      </w:pPr>
      <w:r w:rsidRPr="0055027C">
        <w:rPr>
          <w:rFonts w:cs="Arial"/>
          <w:sz w:val="28"/>
        </w:rPr>
        <w:t>Positive parental engagement</w:t>
      </w:r>
    </w:p>
    <w:p w:rsidR="00F42F14" w:rsidRDefault="00F42F14" w:rsidP="00F42F14">
      <w:pPr>
        <w:pStyle w:val="Default"/>
        <w:rPr>
          <w:bCs/>
          <w:color w:val="auto"/>
          <w:sz w:val="22"/>
          <w:szCs w:val="22"/>
        </w:rPr>
      </w:pPr>
    </w:p>
    <w:p w:rsidR="00F42F14" w:rsidRPr="00F42F14" w:rsidRDefault="00F42F14" w:rsidP="00F42F14">
      <w:pPr>
        <w:pStyle w:val="Default"/>
        <w:rPr>
          <w:bCs/>
          <w:color w:val="auto"/>
          <w:sz w:val="32"/>
          <w:szCs w:val="22"/>
          <w:u w:val="single"/>
        </w:rPr>
      </w:pPr>
      <w:r w:rsidRPr="00F42F14">
        <w:rPr>
          <w:bCs/>
          <w:color w:val="auto"/>
          <w:sz w:val="32"/>
          <w:szCs w:val="22"/>
          <w:u w:val="single"/>
        </w:rPr>
        <w:t>Accountability</w:t>
      </w:r>
    </w:p>
    <w:p w:rsidR="00F42F14" w:rsidRPr="002B2252" w:rsidRDefault="00F42F14" w:rsidP="00F42F14">
      <w:pPr>
        <w:pStyle w:val="Default"/>
        <w:rPr>
          <w:bCs/>
          <w:color w:val="auto"/>
          <w:sz w:val="8"/>
          <w:szCs w:val="22"/>
        </w:rPr>
      </w:pPr>
    </w:p>
    <w:p w:rsidR="00F42F14" w:rsidRDefault="00F42F14" w:rsidP="00F42F14">
      <w:pPr>
        <w:pStyle w:val="Default"/>
        <w:rPr>
          <w:bCs/>
          <w:color w:val="auto"/>
          <w:sz w:val="28"/>
          <w:szCs w:val="22"/>
        </w:rPr>
      </w:pPr>
      <w:r w:rsidRPr="00F42F14">
        <w:rPr>
          <w:bCs/>
          <w:color w:val="auto"/>
          <w:sz w:val="28"/>
          <w:szCs w:val="22"/>
        </w:rPr>
        <w:t xml:space="preserve">The </w:t>
      </w:r>
      <w:proofErr w:type="spellStart"/>
      <w:r w:rsidRPr="00F42F14">
        <w:rPr>
          <w:bCs/>
          <w:color w:val="auto"/>
          <w:sz w:val="28"/>
          <w:szCs w:val="22"/>
        </w:rPr>
        <w:t>Headteacher</w:t>
      </w:r>
      <w:proofErr w:type="spellEnd"/>
      <w:r w:rsidRPr="00F42F14">
        <w:rPr>
          <w:bCs/>
          <w:color w:val="auto"/>
          <w:sz w:val="28"/>
          <w:szCs w:val="22"/>
        </w:rPr>
        <w:t xml:space="preserve"> and leadership team will regularly and rigorously monitor, evaluate and review the strateg</w:t>
      </w:r>
      <w:r w:rsidR="00C005B8">
        <w:rPr>
          <w:bCs/>
          <w:color w:val="auto"/>
          <w:sz w:val="28"/>
          <w:szCs w:val="22"/>
        </w:rPr>
        <w:t>ies we have put into place for Pupil P</w:t>
      </w:r>
      <w:r w:rsidRPr="00F42F14">
        <w:rPr>
          <w:bCs/>
          <w:color w:val="auto"/>
          <w:sz w:val="28"/>
          <w:szCs w:val="22"/>
        </w:rPr>
        <w:t>remium and report to the governing body on its progress and impact.</w:t>
      </w:r>
    </w:p>
    <w:p w:rsidR="00806773" w:rsidRDefault="00806773" w:rsidP="00F42F14">
      <w:pPr>
        <w:pStyle w:val="Default"/>
        <w:rPr>
          <w:bCs/>
          <w:color w:val="auto"/>
          <w:sz w:val="28"/>
          <w:szCs w:val="22"/>
        </w:rPr>
      </w:pPr>
    </w:p>
    <w:p w:rsidR="00806773" w:rsidRDefault="00806773" w:rsidP="00F42F14">
      <w:pPr>
        <w:pStyle w:val="Default"/>
        <w:rPr>
          <w:bCs/>
          <w:color w:val="auto"/>
          <w:sz w:val="32"/>
          <w:szCs w:val="22"/>
          <w:u w:val="single"/>
        </w:rPr>
      </w:pPr>
      <w:r w:rsidRPr="00806773">
        <w:rPr>
          <w:bCs/>
          <w:color w:val="auto"/>
          <w:sz w:val="32"/>
          <w:szCs w:val="22"/>
          <w:u w:val="single"/>
        </w:rPr>
        <w:t>Barriers to Learning</w:t>
      </w:r>
    </w:p>
    <w:p w:rsidR="00B5154D" w:rsidRPr="00B5154D" w:rsidRDefault="00B5154D" w:rsidP="00F42F14">
      <w:pPr>
        <w:pStyle w:val="Default"/>
        <w:rPr>
          <w:bCs/>
          <w:color w:val="auto"/>
          <w:sz w:val="18"/>
          <w:szCs w:val="22"/>
          <w:u w:val="single"/>
        </w:rPr>
      </w:pPr>
    </w:p>
    <w:tbl>
      <w:tblPr>
        <w:tblStyle w:val="TableGrid"/>
        <w:tblW w:w="0" w:type="auto"/>
        <w:tblLayout w:type="fixed"/>
        <w:tblLook w:val="04A0" w:firstRow="1" w:lastRow="0" w:firstColumn="1" w:lastColumn="0" w:noHBand="0" w:noVBand="1"/>
      </w:tblPr>
      <w:tblGrid>
        <w:gridCol w:w="3539"/>
        <w:gridCol w:w="6917"/>
      </w:tblGrid>
      <w:tr w:rsidR="00014C50" w:rsidTr="00B5154D">
        <w:tc>
          <w:tcPr>
            <w:tcW w:w="10456" w:type="dxa"/>
            <w:gridSpan w:val="2"/>
            <w:shd w:val="clear" w:color="auto" w:fill="C198E0"/>
          </w:tcPr>
          <w:p w:rsidR="00014C50" w:rsidRPr="00014C50" w:rsidRDefault="00014C50" w:rsidP="00F42F14">
            <w:pPr>
              <w:pStyle w:val="Default"/>
              <w:rPr>
                <w:bCs/>
                <w:color w:val="auto"/>
                <w:sz w:val="30"/>
                <w:szCs w:val="30"/>
              </w:rPr>
            </w:pPr>
            <w:r w:rsidRPr="00014C50">
              <w:rPr>
                <w:bCs/>
                <w:color w:val="auto"/>
                <w:sz w:val="30"/>
                <w:szCs w:val="30"/>
              </w:rPr>
              <w:t>Barriers to future attainment and progress for pupils eligible for Pupil Premium</w:t>
            </w:r>
          </w:p>
        </w:tc>
      </w:tr>
      <w:tr w:rsidR="00014C50" w:rsidTr="00B5154D">
        <w:tc>
          <w:tcPr>
            <w:tcW w:w="3539" w:type="dxa"/>
          </w:tcPr>
          <w:p w:rsidR="00014C50" w:rsidRPr="00014C50" w:rsidRDefault="00014C50" w:rsidP="00F42F14">
            <w:pPr>
              <w:pStyle w:val="Default"/>
              <w:rPr>
                <w:bCs/>
                <w:color w:val="auto"/>
                <w:szCs w:val="22"/>
              </w:rPr>
            </w:pPr>
            <w:r>
              <w:rPr>
                <w:bCs/>
                <w:color w:val="auto"/>
                <w:szCs w:val="22"/>
              </w:rPr>
              <w:t>Special Educational N</w:t>
            </w:r>
            <w:r w:rsidRPr="00014C50">
              <w:rPr>
                <w:bCs/>
                <w:color w:val="auto"/>
                <w:szCs w:val="22"/>
              </w:rPr>
              <w:t>eeds</w:t>
            </w:r>
          </w:p>
        </w:tc>
        <w:tc>
          <w:tcPr>
            <w:tcW w:w="6917" w:type="dxa"/>
          </w:tcPr>
          <w:p w:rsidR="00014C50" w:rsidRPr="00014C50" w:rsidRDefault="00014C50" w:rsidP="00F42F14">
            <w:pPr>
              <w:pStyle w:val="Default"/>
              <w:rPr>
                <w:bCs/>
                <w:color w:val="auto"/>
                <w:szCs w:val="22"/>
              </w:rPr>
            </w:pPr>
            <w:r w:rsidRPr="00014C50">
              <w:rPr>
                <w:bCs/>
                <w:color w:val="auto"/>
                <w:szCs w:val="22"/>
              </w:rPr>
              <w:t>25 children who are eligible for pupil premium also have been identified as having additional SEN needs</w:t>
            </w:r>
          </w:p>
        </w:tc>
      </w:tr>
      <w:tr w:rsidR="00014C50" w:rsidTr="00B5154D">
        <w:tc>
          <w:tcPr>
            <w:tcW w:w="3539" w:type="dxa"/>
          </w:tcPr>
          <w:p w:rsidR="00014C50" w:rsidRPr="00014C50" w:rsidRDefault="00B5154D" w:rsidP="00F42F14">
            <w:pPr>
              <w:pStyle w:val="Default"/>
              <w:rPr>
                <w:bCs/>
                <w:color w:val="auto"/>
                <w:szCs w:val="22"/>
              </w:rPr>
            </w:pPr>
            <w:r>
              <w:rPr>
                <w:bCs/>
                <w:color w:val="auto"/>
                <w:szCs w:val="22"/>
              </w:rPr>
              <w:t>Speech and Language difficulties</w:t>
            </w:r>
          </w:p>
        </w:tc>
        <w:tc>
          <w:tcPr>
            <w:tcW w:w="6917" w:type="dxa"/>
          </w:tcPr>
          <w:p w:rsidR="00014C50" w:rsidRPr="00014C50" w:rsidRDefault="00B5154D" w:rsidP="00014C50">
            <w:pPr>
              <w:pStyle w:val="Default"/>
              <w:rPr>
                <w:bCs/>
                <w:color w:val="auto"/>
                <w:szCs w:val="22"/>
              </w:rPr>
            </w:pPr>
            <w:r>
              <w:rPr>
                <w:bCs/>
                <w:color w:val="auto"/>
                <w:szCs w:val="22"/>
              </w:rPr>
              <w:t>17 children have significant speech and language difficulties</w:t>
            </w:r>
          </w:p>
        </w:tc>
      </w:tr>
      <w:tr w:rsidR="00B5154D" w:rsidTr="00B5154D">
        <w:tc>
          <w:tcPr>
            <w:tcW w:w="3539" w:type="dxa"/>
          </w:tcPr>
          <w:p w:rsidR="00B5154D" w:rsidRPr="00014C50" w:rsidRDefault="00B5154D" w:rsidP="00B5154D">
            <w:pPr>
              <w:pStyle w:val="Default"/>
              <w:rPr>
                <w:bCs/>
                <w:color w:val="auto"/>
                <w:szCs w:val="22"/>
              </w:rPr>
            </w:pPr>
            <w:r>
              <w:rPr>
                <w:bCs/>
                <w:color w:val="auto"/>
                <w:szCs w:val="22"/>
              </w:rPr>
              <w:t>Attendance</w:t>
            </w:r>
          </w:p>
        </w:tc>
        <w:tc>
          <w:tcPr>
            <w:tcW w:w="6917" w:type="dxa"/>
          </w:tcPr>
          <w:p w:rsidR="00B5154D" w:rsidRPr="00014C50" w:rsidRDefault="00B5154D" w:rsidP="00B5154D">
            <w:pPr>
              <w:pStyle w:val="Default"/>
              <w:rPr>
                <w:bCs/>
                <w:color w:val="auto"/>
                <w:szCs w:val="22"/>
              </w:rPr>
            </w:pPr>
            <w:r>
              <w:rPr>
                <w:bCs/>
                <w:color w:val="auto"/>
                <w:szCs w:val="22"/>
              </w:rPr>
              <w:t>21 children who are eligible for pupil premium have persistent low attendance. Children who are eligible for pupil premium funding have significantly lower attendance than non-disadvantaged pupil at GGA</w:t>
            </w:r>
          </w:p>
        </w:tc>
      </w:tr>
      <w:tr w:rsidR="00B5154D" w:rsidTr="00B5154D">
        <w:tc>
          <w:tcPr>
            <w:tcW w:w="3539" w:type="dxa"/>
          </w:tcPr>
          <w:p w:rsidR="00B5154D" w:rsidRDefault="00B5154D" w:rsidP="00B5154D">
            <w:pPr>
              <w:pStyle w:val="Default"/>
              <w:rPr>
                <w:bCs/>
                <w:color w:val="auto"/>
                <w:szCs w:val="22"/>
              </w:rPr>
            </w:pPr>
            <w:r>
              <w:rPr>
                <w:bCs/>
                <w:color w:val="auto"/>
                <w:szCs w:val="22"/>
              </w:rPr>
              <w:t>Punctuality</w:t>
            </w:r>
          </w:p>
        </w:tc>
        <w:tc>
          <w:tcPr>
            <w:tcW w:w="6917" w:type="dxa"/>
          </w:tcPr>
          <w:p w:rsidR="00B5154D" w:rsidRDefault="00B5154D" w:rsidP="00B5154D">
            <w:pPr>
              <w:pStyle w:val="Default"/>
              <w:rPr>
                <w:bCs/>
                <w:color w:val="auto"/>
                <w:szCs w:val="22"/>
              </w:rPr>
            </w:pPr>
            <w:r>
              <w:rPr>
                <w:bCs/>
                <w:color w:val="auto"/>
                <w:szCs w:val="22"/>
              </w:rPr>
              <w:t>18 children have poor punctuality which results in missed intervention opportunities</w:t>
            </w:r>
          </w:p>
        </w:tc>
      </w:tr>
      <w:tr w:rsidR="00B5154D" w:rsidTr="00B5154D">
        <w:tc>
          <w:tcPr>
            <w:tcW w:w="3539" w:type="dxa"/>
          </w:tcPr>
          <w:p w:rsidR="00B5154D" w:rsidRPr="00014C50" w:rsidRDefault="00B5154D" w:rsidP="00B5154D">
            <w:pPr>
              <w:pStyle w:val="Default"/>
              <w:rPr>
                <w:bCs/>
                <w:color w:val="auto"/>
                <w:szCs w:val="22"/>
              </w:rPr>
            </w:pPr>
            <w:r>
              <w:rPr>
                <w:bCs/>
                <w:color w:val="auto"/>
                <w:szCs w:val="22"/>
              </w:rPr>
              <w:t>Poor home learning environment</w:t>
            </w:r>
          </w:p>
        </w:tc>
        <w:tc>
          <w:tcPr>
            <w:tcW w:w="6917" w:type="dxa"/>
          </w:tcPr>
          <w:p w:rsidR="00B5154D" w:rsidRPr="00014C50" w:rsidRDefault="00B5154D" w:rsidP="00B5154D">
            <w:pPr>
              <w:pStyle w:val="Default"/>
              <w:rPr>
                <w:bCs/>
                <w:color w:val="auto"/>
                <w:szCs w:val="22"/>
              </w:rPr>
            </w:pPr>
            <w:r>
              <w:rPr>
                <w:bCs/>
                <w:color w:val="auto"/>
                <w:szCs w:val="22"/>
              </w:rPr>
              <w:t>28 pupils eligible for pupil premium have CP concerns and/or a poor home learning environment, including low aspirations</w:t>
            </w:r>
          </w:p>
        </w:tc>
      </w:tr>
    </w:tbl>
    <w:p w:rsidR="005B59B2" w:rsidRDefault="005B59B2" w:rsidP="00F42F14">
      <w:pPr>
        <w:pStyle w:val="Default"/>
        <w:rPr>
          <w:bCs/>
          <w:color w:val="auto"/>
          <w:sz w:val="32"/>
          <w:szCs w:val="22"/>
          <w:u w:val="single"/>
        </w:rPr>
      </w:pPr>
    </w:p>
    <w:p w:rsidR="00F42F14" w:rsidRPr="00F42F14" w:rsidRDefault="00F42F14" w:rsidP="00F42F14">
      <w:pPr>
        <w:pStyle w:val="Default"/>
        <w:rPr>
          <w:bCs/>
          <w:color w:val="auto"/>
          <w:sz w:val="32"/>
          <w:szCs w:val="22"/>
          <w:u w:val="single"/>
        </w:rPr>
      </w:pPr>
      <w:r>
        <w:rPr>
          <w:bCs/>
          <w:color w:val="auto"/>
          <w:sz w:val="32"/>
          <w:szCs w:val="22"/>
          <w:u w:val="single"/>
        </w:rPr>
        <w:lastRenderedPageBreak/>
        <w:t>Range of provision</w:t>
      </w:r>
    </w:p>
    <w:p w:rsidR="00F42F14" w:rsidRPr="002B2252" w:rsidRDefault="00F42F14" w:rsidP="00F42F14">
      <w:pPr>
        <w:pStyle w:val="Default"/>
        <w:rPr>
          <w:bCs/>
          <w:color w:val="auto"/>
          <w:sz w:val="10"/>
          <w:szCs w:val="22"/>
        </w:rPr>
      </w:pPr>
    </w:p>
    <w:p w:rsidR="00F42F14" w:rsidRPr="00F42F14" w:rsidRDefault="00F42F14" w:rsidP="00F42F14">
      <w:pPr>
        <w:pStyle w:val="Default"/>
        <w:rPr>
          <w:bCs/>
          <w:color w:val="auto"/>
          <w:sz w:val="28"/>
          <w:szCs w:val="22"/>
        </w:rPr>
      </w:pPr>
      <w:r w:rsidRPr="00F42F14">
        <w:rPr>
          <w:bCs/>
          <w:color w:val="auto"/>
          <w:sz w:val="28"/>
          <w:szCs w:val="22"/>
        </w:rPr>
        <w:t>The academy has looked carefully at the needs of each pupil and we have decided to put in place the following provision strategies.</w:t>
      </w:r>
    </w:p>
    <w:p w:rsidR="006300E6" w:rsidRDefault="00F42F14" w:rsidP="006300E6">
      <w:pPr>
        <w:pStyle w:val="Default"/>
        <w:numPr>
          <w:ilvl w:val="0"/>
          <w:numId w:val="3"/>
        </w:numPr>
        <w:rPr>
          <w:bCs/>
          <w:color w:val="auto"/>
          <w:sz w:val="28"/>
          <w:szCs w:val="22"/>
        </w:rPr>
      </w:pPr>
      <w:r w:rsidRPr="00F42F14">
        <w:rPr>
          <w:bCs/>
          <w:color w:val="auto"/>
          <w:sz w:val="28"/>
          <w:szCs w:val="22"/>
        </w:rPr>
        <w:t>Providin</w:t>
      </w:r>
      <w:r w:rsidR="006300E6">
        <w:rPr>
          <w:bCs/>
          <w:color w:val="auto"/>
          <w:sz w:val="28"/>
          <w:szCs w:val="22"/>
        </w:rPr>
        <w:t>g smal</w:t>
      </w:r>
      <w:r w:rsidR="00C005B8">
        <w:rPr>
          <w:bCs/>
          <w:color w:val="auto"/>
          <w:sz w:val="28"/>
          <w:szCs w:val="22"/>
        </w:rPr>
        <w:t>l group work entitled to Pupil P</w:t>
      </w:r>
      <w:r w:rsidRPr="00F42F14">
        <w:rPr>
          <w:bCs/>
          <w:color w:val="auto"/>
          <w:sz w:val="28"/>
          <w:szCs w:val="22"/>
        </w:rPr>
        <w:t>remium funding with an expe</w:t>
      </w:r>
      <w:r w:rsidR="006300E6">
        <w:rPr>
          <w:bCs/>
          <w:color w:val="auto"/>
          <w:sz w:val="28"/>
          <w:szCs w:val="22"/>
        </w:rPr>
        <w:t>rienced teacher focused on over</w:t>
      </w:r>
      <w:r w:rsidRPr="00F42F14">
        <w:rPr>
          <w:bCs/>
          <w:color w:val="auto"/>
          <w:sz w:val="28"/>
          <w:szCs w:val="22"/>
        </w:rPr>
        <w:t>coming gaps in learning to help them make improved progress and to raise their standards of achievement.</w:t>
      </w:r>
    </w:p>
    <w:p w:rsidR="006300E6" w:rsidRDefault="00F42F14" w:rsidP="006300E6">
      <w:pPr>
        <w:pStyle w:val="Default"/>
        <w:numPr>
          <w:ilvl w:val="0"/>
          <w:numId w:val="3"/>
        </w:numPr>
        <w:rPr>
          <w:bCs/>
          <w:color w:val="auto"/>
          <w:sz w:val="28"/>
          <w:szCs w:val="22"/>
        </w:rPr>
      </w:pPr>
      <w:r w:rsidRPr="006300E6">
        <w:rPr>
          <w:bCs/>
          <w:color w:val="auto"/>
          <w:sz w:val="28"/>
          <w:szCs w:val="22"/>
        </w:rPr>
        <w:t>1:1 support, where a need is iden</w:t>
      </w:r>
      <w:r w:rsidR="006300E6">
        <w:rPr>
          <w:bCs/>
          <w:color w:val="auto"/>
          <w:sz w:val="28"/>
          <w:szCs w:val="22"/>
        </w:rPr>
        <w:t>tified, for pupils entitled to pupil pr</w:t>
      </w:r>
      <w:r w:rsidRPr="006300E6">
        <w:rPr>
          <w:bCs/>
          <w:color w:val="auto"/>
          <w:sz w:val="28"/>
          <w:szCs w:val="22"/>
        </w:rPr>
        <w:t xml:space="preserve">emium funding e.g. Reading, </w:t>
      </w:r>
      <w:r w:rsidR="006300E6">
        <w:rPr>
          <w:bCs/>
          <w:color w:val="auto"/>
          <w:sz w:val="28"/>
          <w:szCs w:val="22"/>
        </w:rPr>
        <w:t>writing, maths, phonics</w:t>
      </w:r>
      <w:r w:rsidRPr="006300E6">
        <w:rPr>
          <w:bCs/>
          <w:color w:val="auto"/>
          <w:sz w:val="28"/>
          <w:szCs w:val="22"/>
        </w:rPr>
        <w:t>.</w:t>
      </w:r>
    </w:p>
    <w:p w:rsidR="006300E6" w:rsidRDefault="00F42F14" w:rsidP="006300E6">
      <w:pPr>
        <w:pStyle w:val="Default"/>
        <w:numPr>
          <w:ilvl w:val="0"/>
          <w:numId w:val="3"/>
        </w:numPr>
        <w:rPr>
          <w:bCs/>
          <w:color w:val="auto"/>
          <w:sz w:val="28"/>
          <w:szCs w:val="22"/>
        </w:rPr>
      </w:pPr>
      <w:r w:rsidRPr="006300E6">
        <w:rPr>
          <w:bCs/>
          <w:color w:val="auto"/>
          <w:sz w:val="28"/>
          <w:szCs w:val="22"/>
        </w:rPr>
        <w:t>Additional teaching and learning oppor</w:t>
      </w:r>
      <w:r w:rsidR="006300E6">
        <w:rPr>
          <w:bCs/>
          <w:color w:val="auto"/>
          <w:sz w:val="28"/>
          <w:szCs w:val="22"/>
        </w:rPr>
        <w:t>tunities to pupils entitled to p</w:t>
      </w:r>
      <w:r w:rsidRPr="006300E6">
        <w:rPr>
          <w:bCs/>
          <w:color w:val="auto"/>
          <w:sz w:val="28"/>
          <w:szCs w:val="22"/>
        </w:rPr>
        <w:t>upil</w:t>
      </w:r>
      <w:r w:rsidR="006300E6">
        <w:rPr>
          <w:bCs/>
          <w:color w:val="auto"/>
          <w:sz w:val="28"/>
          <w:szCs w:val="22"/>
        </w:rPr>
        <w:t xml:space="preserve"> p</w:t>
      </w:r>
      <w:r w:rsidRPr="006300E6">
        <w:rPr>
          <w:bCs/>
          <w:color w:val="auto"/>
          <w:sz w:val="28"/>
          <w:szCs w:val="22"/>
        </w:rPr>
        <w:t>remium funding provided through</w:t>
      </w:r>
      <w:r w:rsidR="006300E6">
        <w:rPr>
          <w:bCs/>
          <w:color w:val="auto"/>
          <w:sz w:val="28"/>
          <w:szCs w:val="22"/>
        </w:rPr>
        <w:t xml:space="preserve"> playtime provision, funding trips, </w:t>
      </w:r>
      <w:r w:rsidR="00C005B8">
        <w:rPr>
          <w:bCs/>
          <w:color w:val="auto"/>
          <w:sz w:val="28"/>
          <w:szCs w:val="22"/>
        </w:rPr>
        <w:t>after-school clubs and wrap-</w:t>
      </w:r>
      <w:r w:rsidRPr="006300E6">
        <w:rPr>
          <w:bCs/>
          <w:color w:val="auto"/>
          <w:sz w:val="28"/>
          <w:szCs w:val="22"/>
        </w:rPr>
        <w:t>around care.</w:t>
      </w:r>
    </w:p>
    <w:p w:rsidR="00F42F14" w:rsidRDefault="006300E6" w:rsidP="006300E6">
      <w:pPr>
        <w:pStyle w:val="Default"/>
        <w:numPr>
          <w:ilvl w:val="0"/>
          <w:numId w:val="3"/>
        </w:numPr>
        <w:rPr>
          <w:bCs/>
          <w:color w:val="auto"/>
          <w:sz w:val="28"/>
          <w:szCs w:val="22"/>
        </w:rPr>
      </w:pPr>
      <w:r>
        <w:rPr>
          <w:bCs/>
          <w:color w:val="auto"/>
          <w:sz w:val="28"/>
          <w:szCs w:val="22"/>
        </w:rPr>
        <w:t>Improving provision through curriculum design and a</w:t>
      </w:r>
      <w:r w:rsidR="00F42F14" w:rsidRPr="006300E6">
        <w:rPr>
          <w:bCs/>
          <w:color w:val="auto"/>
          <w:sz w:val="28"/>
          <w:szCs w:val="22"/>
        </w:rPr>
        <w:t>cquiring effective materials for pupils entitled to Pupil Premium funding aimed at raising sta</w:t>
      </w:r>
      <w:r>
        <w:rPr>
          <w:bCs/>
          <w:color w:val="auto"/>
          <w:sz w:val="28"/>
          <w:szCs w:val="22"/>
        </w:rPr>
        <w:t>ndards. E.g. providing uniform</w:t>
      </w:r>
    </w:p>
    <w:p w:rsidR="006300E6" w:rsidRDefault="006300E6" w:rsidP="006300E6">
      <w:pPr>
        <w:pStyle w:val="Default"/>
        <w:numPr>
          <w:ilvl w:val="0"/>
          <w:numId w:val="3"/>
        </w:numPr>
        <w:rPr>
          <w:bCs/>
          <w:color w:val="auto"/>
          <w:sz w:val="28"/>
          <w:szCs w:val="22"/>
        </w:rPr>
      </w:pPr>
      <w:r>
        <w:rPr>
          <w:bCs/>
          <w:color w:val="auto"/>
          <w:sz w:val="28"/>
          <w:szCs w:val="22"/>
        </w:rPr>
        <w:t>Increasing parent involvement and engagement through parent groups and training for reading support at home and in school</w:t>
      </w:r>
    </w:p>
    <w:p w:rsidR="001C3D0C" w:rsidRDefault="002B4600" w:rsidP="002B2252">
      <w:pPr>
        <w:pStyle w:val="Default"/>
        <w:numPr>
          <w:ilvl w:val="0"/>
          <w:numId w:val="3"/>
        </w:numPr>
        <w:rPr>
          <w:bCs/>
          <w:color w:val="auto"/>
          <w:sz w:val="28"/>
          <w:szCs w:val="22"/>
        </w:rPr>
      </w:pPr>
      <w:r>
        <w:rPr>
          <w:bCs/>
          <w:color w:val="auto"/>
          <w:sz w:val="28"/>
          <w:szCs w:val="22"/>
        </w:rPr>
        <w:t xml:space="preserve">Recruitment and retention of high quality staff to ensure teaching and learning outstanding and gaps are being closed. </w:t>
      </w:r>
    </w:p>
    <w:p w:rsidR="00E06968" w:rsidRDefault="00E06968" w:rsidP="002B2252">
      <w:pPr>
        <w:pStyle w:val="Default"/>
        <w:numPr>
          <w:ilvl w:val="0"/>
          <w:numId w:val="3"/>
        </w:numPr>
        <w:rPr>
          <w:bCs/>
          <w:color w:val="auto"/>
          <w:sz w:val="28"/>
          <w:szCs w:val="22"/>
        </w:rPr>
      </w:pPr>
      <w:r>
        <w:rPr>
          <w:bCs/>
          <w:color w:val="auto"/>
          <w:sz w:val="28"/>
          <w:szCs w:val="22"/>
        </w:rPr>
        <w:t>Recruitment of a Family Worker and Attendance Officer</w:t>
      </w:r>
    </w:p>
    <w:p w:rsidR="00E06968" w:rsidRDefault="00E06968" w:rsidP="002B2252">
      <w:pPr>
        <w:pStyle w:val="Default"/>
        <w:numPr>
          <w:ilvl w:val="0"/>
          <w:numId w:val="3"/>
        </w:numPr>
        <w:rPr>
          <w:bCs/>
          <w:color w:val="auto"/>
          <w:sz w:val="28"/>
          <w:szCs w:val="22"/>
        </w:rPr>
      </w:pPr>
      <w:r>
        <w:rPr>
          <w:bCs/>
          <w:color w:val="auto"/>
          <w:sz w:val="28"/>
          <w:szCs w:val="22"/>
        </w:rPr>
        <w:t>Recruitment of a Pupil Premium Champion</w:t>
      </w:r>
    </w:p>
    <w:p w:rsidR="002B2252" w:rsidRDefault="002B2252" w:rsidP="002B2252">
      <w:pPr>
        <w:pStyle w:val="Default"/>
        <w:rPr>
          <w:bCs/>
          <w:color w:val="auto"/>
          <w:sz w:val="28"/>
          <w:szCs w:val="22"/>
        </w:rPr>
      </w:pPr>
    </w:p>
    <w:p w:rsidR="00B5154D" w:rsidRDefault="00B5154D" w:rsidP="00B5154D">
      <w:pPr>
        <w:pStyle w:val="Default"/>
        <w:rPr>
          <w:bCs/>
          <w:color w:val="auto"/>
          <w:sz w:val="32"/>
          <w:szCs w:val="22"/>
          <w:u w:val="single"/>
        </w:rPr>
      </w:pPr>
      <w:r>
        <w:rPr>
          <w:bCs/>
          <w:color w:val="auto"/>
          <w:sz w:val="32"/>
          <w:szCs w:val="22"/>
          <w:u w:val="single"/>
        </w:rPr>
        <w:t>Outcomes</w:t>
      </w:r>
    </w:p>
    <w:p w:rsidR="00B5154D" w:rsidRPr="00B5154D" w:rsidRDefault="00B5154D" w:rsidP="00B5154D">
      <w:pPr>
        <w:pStyle w:val="Default"/>
        <w:rPr>
          <w:bCs/>
          <w:color w:val="auto"/>
          <w:sz w:val="18"/>
          <w:szCs w:val="22"/>
          <w:u w:val="single"/>
        </w:rPr>
      </w:pPr>
    </w:p>
    <w:tbl>
      <w:tblPr>
        <w:tblStyle w:val="TableGrid"/>
        <w:tblW w:w="10457" w:type="dxa"/>
        <w:tblLayout w:type="fixed"/>
        <w:tblLook w:val="04A0" w:firstRow="1" w:lastRow="0" w:firstColumn="1" w:lastColumn="0" w:noHBand="0" w:noVBand="1"/>
      </w:tblPr>
      <w:tblGrid>
        <w:gridCol w:w="5228"/>
        <w:gridCol w:w="5229"/>
      </w:tblGrid>
      <w:tr w:rsidR="00B5154D" w:rsidTr="00B5154D">
        <w:tc>
          <w:tcPr>
            <w:tcW w:w="5228" w:type="dxa"/>
            <w:shd w:val="clear" w:color="auto" w:fill="C198E0"/>
          </w:tcPr>
          <w:p w:rsidR="00B5154D" w:rsidRPr="00B5154D" w:rsidRDefault="00B5154D" w:rsidP="00B5154D">
            <w:pPr>
              <w:pStyle w:val="Default"/>
              <w:rPr>
                <w:bCs/>
                <w:color w:val="auto"/>
                <w:sz w:val="28"/>
                <w:szCs w:val="22"/>
              </w:rPr>
            </w:pPr>
            <w:r w:rsidRPr="00B5154D">
              <w:rPr>
                <w:bCs/>
                <w:color w:val="auto"/>
                <w:sz w:val="28"/>
                <w:szCs w:val="22"/>
              </w:rPr>
              <w:t>Outcomes</w:t>
            </w:r>
          </w:p>
        </w:tc>
        <w:tc>
          <w:tcPr>
            <w:tcW w:w="5229" w:type="dxa"/>
            <w:shd w:val="clear" w:color="auto" w:fill="C198E0"/>
          </w:tcPr>
          <w:p w:rsidR="00B5154D" w:rsidRPr="00B5154D" w:rsidRDefault="00B5154D" w:rsidP="00B5154D">
            <w:pPr>
              <w:pStyle w:val="Default"/>
              <w:rPr>
                <w:bCs/>
                <w:color w:val="auto"/>
                <w:sz w:val="28"/>
                <w:szCs w:val="22"/>
              </w:rPr>
            </w:pPr>
            <w:r w:rsidRPr="00B5154D">
              <w:rPr>
                <w:bCs/>
                <w:color w:val="auto"/>
                <w:sz w:val="28"/>
                <w:szCs w:val="22"/>
              </w:rPr>
              <w:t>Success Criteria</w:t>
            </w:r>
          </w:p>
        </w:tc>
      </w:tr>
      <w:tr w:rsidR="00B5154D" w:rsidTr="00B5154D">
        <w:tc>
          <w:tcPr>
            <w:tcW w:w="5228" w:type="dxa"/>
          </w:tcPr>
          <w:p w:rsidR="00B5154D" w:rsidRPr="00014C50" w:rsidRDefault="00E93D64" w:rsidP="00B5154D">
            <w:pPr>
              <w:pStyle w:val="Default"/>
              <w:rPr>
                <w:bCs/>
                <w:color w:val="auto"/>
                <w:szCs w:val="22"/>
              </w:rPr>
            </w:pPr>
            <w:r>
              <w:rPr>
                <w:bCs/>
                <w:color w:val="auto"/>
                <w:szCs w:val="22"/>
              </w:rPr>
              <w:t>Improve outcomes at end of EYFS</w:t>
            </w:r>
          </w:p>
        </w:tc>
        <w:tc>
          <w:tcPr>
            <w:tcW w:w="5229" w:type="dxa"/>
          </w:tcPr>
          <w:p w:rsidR="00B5154D" w:rsidRPr="00014C50" w:rsidRDefault="00E93D64" w:rsidP="00B5154D">
            <w:pPr>
              <w:pStyle w:val="Default"/>
              <w:rPr>
                <w:bCs/>
                <w:color w:val="auto"/>
                <w:szCs w:val="22"/>
              </w:rPr>
            </w:pPr>
            <w:r>
              <w:rPr>
                <w:bCs/>
                <w:color w:val="auto"/>
                <w:szCs w:val="22"/>
              </w:rPr>
              <w:t>66% of Pupil Premium children achieve a good level of development</w:t>
            </w:r>
          </w:p>
        </w:tc>
      </w:tr>
      <w:tr w:rsidR="00E93D64" w:rsidTr="00B5154D">
        <w:tc>
          <w:tcPr>
            <w:tcW w:w="5228" w:type="dxa"/>
          </w:tcPr>
          <w:p w:rsidR="00E93D64" w:rsidRPr="00014C50" w:rsidRDefault="00E93D64" w:rsidP="00E93D64">
            <w:pPr>
              <w:pStyle w:val="Default"/>
              <w:rPr>
                <w:bCs/>
                <w:color w:val="auto"/>
                <w:szCs w:val="22"/>
              </w:rPr>
            </w:pPr>
            <w:r>
              <w:rPr>
                <w:bCs/>
                <w:color w:val="auto"/>
                <w:szCs w:val="22"/>
              </w:rPr>
              <w:t xml:space="preserve">Improve outcomes at end of KS1 </w:t>
            </w:r>
          </w:p>
        </w:tc>
        <w:tc>
          <w:tcPr>
            <w:tcW w:w="5229" w:type="dxa"/>
          </w:tcPr>
          <w:p w:rsidR="00E93D64" w:rsidRPr="00014C50" w:rsidRDefault="00E93D64" w:rsidP="00E93D64">
            <w:pPr>
              <w:pStyle w:val="Default"/>
              <w:rPr>
                <w:bCs/>
                <w:color w:val="auto"/>
                <w:szCs w:val="22"/>
              </w:rPr>
            </w:pPr>
            <w:r>
              <w:rPr>
                <w:bCs/>
                <w:color w:val="auto"/>
                <w:szCs w:val="22"/>
              </w:rPr>
              <w:t>80% of all children achieved national expectations in reading, writing and maths</w:t>
            </w:r>
          </w:p>
        </w:tc>
      </w:tr>
      <w:tr w:rsidR="00E93D64" w:rsidTr="00B5154D">
        <w:tc>
          <w:tcPr>
            <w:tcW w:w="5228" w:type="dxa"/>
          </w:tcPr>
          <w:p w:rsidR="00E93D64" w:rsidRPr="00014C50" w:rsidRDefault="00E93D64" w:rsidP="00E93D64">
            <w:pPr>
              <w:pStyle w:val="Default"/>
              <w:rPr>
                <w:bCs/>
                <w:color w:val="auto"/>
                <w:szCs w:val="22"/>
              </w:rPr>
            </w:pPr>
            <w:r>
              <w:rPr>
                <w:bCs/>
                <w:color w:val="auto"/>
                <w:szCs w:val="22"/>
              </w:rPr>
              <w:t>Improve outcomes for Year 3 children</w:t>
            </w:r>
          </w:p>
        </w:tc>
        <w:tc>
          <w:tcPr>
            <w:tcW w:w="5229" w:type="dxa"/>
          </w:tcPr>
          <w:p w:rsidR="00E93D64" w:rsidRPr="00014C50" w:rsidRDefault="00E06968" w:rsidP="00E93D64">
            <w:pPr>
              <w:pStyle w:val="Default"/>
              <w:rPr>
                <w:bCs/>
                <w:color w:val="auto"/>
                <w:szCs w:val="22"/>
              </w:rPr>
            </w:pPr>
            <w:r>
              <w:rPr>
                <w:bCs/>
                <w:color w:val="auto"/>
                <w:szCs w:val="22"/>
              </w:rPr>
              <w:t xml:space="preserve">55% of children achieve age related expectations in reading and writing and 67% in maths </w:t>
            </w:r>
          </w:p>
        </w:tc>
      </w:tr>
      <w:tr w:rsidR="00E93D64" w:rsidTr="00B5154D">
        <w:tc>
          <w:tcPr>
            <w:tcW w:w="5228" w:type="dxa"/>
          </w:tcPr>
          <w:p w:rsidR="00E93D64" w:rsidRPr="00014C50" w:rsidRDefault="00E06968" w:rsidP="00E93D64">
            <w:pPr>
              <w:pStyle w:val="Default"/>
              <w:rPr>
                <w:bCs/>
                <w:color w:val="auto"/>
                <w:szCs w:val="22"/>
              </w:rPr>
            </w:pPr>
            <w:r>
              <w:rPr>
                <w:bCs/>
                <w:color w:val="auto"/>
                <w:szCs w:val="22"/>
              </w:rPr>
              <w:t>Improve outcomes in KS2</w:t>
            </w:r>
          </w:p>
        </w:tc>
        <w:tc>
          <w:tcPr>
            <w:tcW w:w="5229" w:type="dxa"/>
          </w:tcPr>
          <w:p w:rsidR="00E06968" w:rsidRPr="00014C50" w:rsidRDefault="00E06968" w:rsidP="00E93D64">
            <w:pPr>
              <w:pStyle w:val="Default"/>
              <w:rPr>
                <w:bCs/>
                <w:color w:val="auto"/>
                <w:szCs w:val="22"/>
              </w:rPr>
            </w:pPr>
            <w:r>
              <w:rPr>
                <w:bCs/>
                <w:color w:val="auto"/>
                <w:szCs w:val="22"/>
              </w:rPr>
              <w:t>100% of children make expected progress in all subjects</w:t>
            </w:r>
          </w:p>
        </w:tc>
      </w:tr>
      <w:tr w:rsidR="00E93D64" w:rsidTr="00B5154D">
        <w:tc>
          <w:tcPr>
            <w:tcW w:w="5228" w:type="dxa"/>
          </w:tcPr>
          <w:p w:rsidR="00E93D64" w:rsidRPr="00014C50" w:rsidRDefault="00E06968" w:rsidP="00E93D64">
            <w:pPr>
              <w:pStyle w:val="Default"/>
              <w:rPr>
                <w:bCs/>
                <w:color w:val="auto"/>
                <w:szCs w:val="22"/>
              </w:rPr>
            </w:pPr>
            <w:r>
              <w:rPr>
                <w:bCs/>
                <w:color w:val="auto"/>
                <w:szCs w:val="22"/>
              </w:rPr>
              <w:t>Improve attendance for PP children</w:t>
            </w:r>
          </w:p>
        </w:tc>
        <w:tc>
          <w:tcPr>
            <w:tcW w:w="5229" w:type="dxa"/>
          </w:tcPr>
          <w:p w:rsidR="00E93D64" w:rsidRPr="00014C50" w:rsidRDefault="00E06968" w:rsidP="00E93D64">
            <w:pPr>
              <w:pStyle w:val="Default"/>
              <w:rPr>
                <w:bCs/>
                <w:color w:val="auto"/>
                <w:szCs w:val="22"/>
              </w:rPr>
            </w:pPr>
            <w:r>
              <w:rPr>
                <w:bCs/>
                <w:color w:val="auto"/>
                <w:szCs w:val="22"/>
              </w:rPr>
              <w:t>PP children’s attendance matches non PP attendance</w:t>
            </w:r>
          </w:p>
        </w:tc>
      </w:tr>
    </w:tbl>
    <w:p w:rsidR="00B5154D" w:rsidRDefault="00B5154D" w:rsidP="00B5154D">
      <w:pPr>
        <w:pStyle w:val="Default"/>
        <w:rPr>
          <w:bCs/>
          <w:color w:val="auto"/>
          <w:sz w:val="32"/>
          <w:szCs w:val="22"/>
          <w:u w:val="single"/>
        </w:rPr>
      </w:pPr>
    </w:p>
    <w:p w:rsidR="003B6A7F" w:rsidRPr="002B2252" w:rsidRDefault="003B6A7F" w:rsidP="007F04D4">
      <w:pPr>
        <w:pStyle w:val="Default"/>
        <w:rPr>
          <w:bCs/>
          <w:color w:val="auto"/>
          <w:sz w:val="28"/>
          <w:szCs w:val="22"/>
        </w:rPr>
        <w:sectPr w:rsidR="003B6A7F" w:rsidRPr="002B2252" w:rsidSect="004A5E0F">
          <w:pgSz w:w="11906" w:h="16838"/>
          <w:pgMar w:top="624" w:right="720" w:bottom="567" w:left="720" w:header="709" w:footer="709" w:gutter="0"/>
          <w:cols w:space="708"/>
          <w:docGrid w:linePitch="360"/>
        </w:sectPr>
      </w:pPr>
    </w:p>
    <w:tbl>
      <w:tblPr>
        <w:tblStyle w:val="TableGrid"/>
        <w:tblW w:w="0" w:type="auto"/>
        <w:tblLook w:val="04A0" w:firstRow="1" w:lastRow="0" w:firstColumn="1" w:lastColumn="0" w:noHBand="0" w:noVBand="1"/>
      </w:tblPr>
      <w:tblGrid>
        <w:gridCol w:w="3114"/>
        <w:gridCol w:w="1310"/>
        <w:gridCol w:w="5811"/>
        <w:gridCol w:w="5103"/>
      </w:tblGrid>
      <w:tr w:rsidR="00532973" w:rsidTr="0088548D">
        <w:trPr>
          <w:trHeight w:val="565"/>
        </w:trPr>
        <w:tc>
          <w:tcPr>
            <w:tcW w:w="15338" w:type="dxa"/>
            <w:gridSpan w:val="4"/>
            <w:shd w:val="clear" w:color="auto" w:fill="808080" w:themeFill="background1" w:themeFillShade="80"/>
          </w:tcPr>
          <w:p w:rsidR="00532973" w:rsidRPr="00017286" w:rsidRDefault="00532973" w:rsidP="0088548D">
            <w:pPr>
              <w:jc w:val="center"/>
              <w:rPr>
                <w:rFonts w:cs="Arial"/>
                <w:b/>
                <w:color w:val="FFFFFF" w:themeColor="background1"/>
                <w:sz w:val="40"/>
              </w:rPr>
            </w:pPr>
            <w:r>
              <w:rPr>
                <w:rFonts w:cs="Arial"/>
                <w:b/>
                <w:color w:val="FFFFFF" w:themeColor="background1"/>
                <w:sz w:val="40"/>
              </w:rPr>
              <w:lastRenderedPageBreak/>
              <w:t>Itemised Record of</w:t>
            </w:r>
            <w:r w:rsidRPr="00017286">
              <w:rPr>
                <w:rFonts w:cs="Arial"/>
                <w:b/>
                <w:color w:val="FFFFFF" w:themeColor="background1"/>
                <w:sz w:val="40"/>
              </w:rPr>
              <w:t xml:space="preserve"> PPG Spending for 2</w:t>
            </w:r>
            <w:r>
              <w:rPr>
                <w:rFonts w:cs="Arial"/>
                <w:b/>
                <w:color w:val="FFFFFF" w:themeColor="background1"/>
                <w:sz w:val="40"/>
              </w:rPr>
              <w:t>0</w:t>
            </w:r>
            <w:r w:rsidRPr="00017286">
              <w:rPr>
                <w:rFonts w:cs="Arial"/>
                <w:b/>
                <w:color w:val="FFFFFF" w:themeColor="background1"/>
                <w:sz w:val="40"/>
              </w:rPr>
              <w:t>1</w:t>
            </w:r>
            <w:r w:rsidR="00E06968">
              <w:rPr>
                <w:rFonts w:cs="Arial"/>
                <w:b/>
                <w:color w:val="FFFFFF" w:themeColor="background1"/>
                <w:sz w:val="40"/>
              </w:rPr>
              <w:t>6</w:t>
            </w:r>
            <w:r w:rsidRPr="00017286">
              <w:rPr>
                <w:rFonts w:cs="Arial"/>
                <w:b/>
                <w:color w:val="FFFFFF" w:themeColor="background1"/>
                <w:sz w:val="40"/>
              </w:rPr>
              <w:t>/201</w:t>
            </w:r>
            <w:r w:rsidR="00E06968">
              <w:rPr>
                <w:rFonts w:cs="Arial"/>
                <w:b/>
                <w:color w:val="FFFFFF" w:themeColor="background1"/>
                <w:sz w:val="40"/>
              </w:rPr>
              <w:t>7</w:t>
            </w:r>
          </w:p>
        </w:tc>
      </w:tr>
      <w:tr w:rsidR="00532973" w:rsidTr="0088548D">
        <w:trPr>
          <w:trHeight w:val="440"/>
        </w:trPr>
        <w:tc>
          <w:tcPr>
            <w:tcW w:w="3114"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Initiative</w:t>
            </w:r>
          </w:p>
        </w:tc>
        <w:tc>
          <w:tcPr>
            <w:tcW w:w="1310"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Cost</w:t>
            </w:r>
          </w:p>
        </w:tc>
        <w:tc>
          <w:tcPr>
            <w:tcW w:w="5811"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Objective</w:t>
            </w:r>
          </w:p>
        </w:tc>
        <w:tc>
          <w:tcPr>
            <w:tcW w:w="5103"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Outcome</w:t>
            </w:r>
          </w:p>
        </w:tc>
      </w:tr>
      <w:tr w:rsidR="00532973" w:rsidTr="0088548D">
        <w:tc>
          <w:tcPr>
            <w:tcW w:w="3114" w:type="dxa"/>
          </w:tcPr>
          <w:p w:rsidR="00532973" w:rsidRPr="005C4702" w:rsidRDefault="00532973" w:rsidP="0088548D">
            <w:pPr>
              <w:rPr>
                <w:rFonts w:ascii="Calibri" w:hAnsi="Calibri"/>
                <w:bCs/>
                <w:sz w:val="24"/>
                <w:szCs w:val="20"/>
              </w:rPr>
            </w:pPr>
            <w:r w:rsidRPr="005C4702">
              <w:rPr>
                <w:rFonts w:ascii="Calibri" w:hAnsi="Calibri"/>
                <w:bCs/>
                <w:sz w:val="24"/>
                <w:szCs w:val="20"/>
              </w:rPr>
              <w:t>Recruitment and retention of high quality teaching staff</w:t>
            </w:r>
          </w:p>
          <w:p w:rsidR="00532973" w:rsidRPr="005C4702"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£2,155.00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provide high quality teaching and learning opportunities for all children. Additional funding allows high quality and experienced staff to be retained. Teaching and learning opportunities for all are good or better. </w:t>
            </w:r>
          </w:p>
        </w:tc>
        <w:tc>
          <w:tcPr>
            <w:tcW w:w="5103" w:type="dxa"/>
          </w:tcPr>
          <w:p w:rsidR="00532973" w:rsidRPr="00472FF4" w:rsidRDefault="00532973" w:rsidP="0088548D">
            <w:pPr>
              <w:rPr>
                <w:rFonts w:cs="Arial"/>
                <w:sz w:val="24"/>
              </w:rPr>
            </w:pPr>
          </w:p>
        </w:tc>
      </w:tr>
      <w:tr w:rsidR="00532973" w:rsidTr="0088548D">
        <w:tc>
          <w:tcPr>
            <w:tcW w:w="3114" w:type="dxa"/>
          </w:tcPr>
          <w:p w:rsidR="00E06968" w:rsidRDefault="00E06968" w:rsidP="00E06968">
            <w:pPr>
              <w:rPr>
                <w:rFonts w:cs="Arial"/>
                <w:sz w:val="24"/>
              </w:rPr>
            </w:pPr>
            <w:r>
              <w:rPr>
                <w:rFonts w:cs="Arial"/>
                <w:sz w:val="24"/>
              </w:rPr>
              <w:t>Family Worker and Attendance Officer</w:t>
            </w:r>
            <w:r w:rsidR="00532973">
              <w:rPr>
                <w:rFonts w:cs="Arial"/>
                <w:sz w:val="24"/>
              </w:rPr>
              <w:t xml:space="preserve"> </w:t>
            </w:r>
          </w:p>
          <w:p w:rsidR="00532973" w:rsidRPr="00472FF4" w:rsidRDefault="00532973" w:rsidP="00E06968">
            <w:pPr>
              <w:rPr>
                <w:rFonts w:cs="Arial"/>
                <w:sz w:val="24"/>
              </w:rPr>
            </w:pPr>
            <w:r>
              <w:rPr>
                <w:rFonts w:cs="Arial"/>
                <w:sz w:val="24"/>
              </w:rPr>
              <w:t>(</w:t>
            </w:r>
            <w:r w:rsidR="00E06968">
              <w:rPr>
                <w:rFonts w:cs="Arial"/>
                <w:sz w:val="24"/>
              </w:rPr>
              <w:t>2 ¼ hours, 5 days a week</w:t>
            </w:r>
            <w:r>
              <w:rPr>
                <w:rFonts w:cs="Arial"/>
                <w:sz w:val="24"/>
              </w:rPr>
              <w:t>)</w:t>
            </w:r>
          </w:p>
        </w:tc>
        <w:tc>
          <w:tcPr>
            <w:tcW w:w="1310" w:type="dxa"/>
          </w:tcPr>
          <w:p w:rsidR="00D31BEF" w:rsidRDefault="00D31BEF" w:rsidP="00D31BEF">
            <w:pPr>
              <w:rPr>
                <w:rFonts w:ascii="Calibri" w:hAnsi="Calibri"/>
                <w:color w:val="000000"/>
                <w:sz w:val="20"/>
                <w:szCs w:val="20"/>
              </w:rPr>
            </w:pPr>
            <w:r>
              <w:rPr>
                <w:rFonts w:ascii="Calibri" w:hAnsi="Calibri"/>
                <w:color w:val="000000"/>
                <w:sz w:val="20"/>
                <w:szCs w:val="20"/>
              </w:rPr>
              <w:t>£4,110.75</w:t>
            </w:r>
          </w:p>
          <w:p w:rsidR="00532973" w:rsidRDefault="00532973" w:rsidP="0088548D">
            <w:pPr>
              <w:rPr>
                <w:rFonts w:ascii="Calibri" w:hAnsi="Calibri"/>
                <w:color w:val="000000"/>
                <w:sz w:val="20"/>
                <w:szCs w:val="20"/>
              </w:rPr>
            </w:pPr>
          </w:p>
          <w:p w:rsidR="00532973" w:rsidRPr="00472FF4" w:rsidRDefault="00532973" w:rsidP="0088548D">
            <w:pPr>
              <w:rPr>
                <w:rFonts w:cs="Arial"/>
                <w:sz w:val="24"/>
              </w:rPr>
            </w:pPr>
          </w:p>
        </w:tc>
        <w:tc>
          <w:tcPr>
            <w:tcW w:w="5811" w:type="dxa"/>
          </w:tcPr>
          <w:p w:rsidR="00532973" w:rsidRPr="00472FF4" w:rsidRDefault="00532973" w:rsidP="00E06968">
            <w:pPr>
              <w:rPr>
                <w:rFonts w:cs="Arial"/>
                <w:sz w:val="24"/>
              </w:rPr>
            </w:pPr>
            <w:r>
              <w:rPr>
                <w:rFonts w:cs="Arial"/>
                <w:sz w:val="24"/>
              </w:rPr>
              <w:t>To</w:t>
            </w:r>
            <w:r w:rsidR="00E06968">
              <w:rPr>
                <w:rFonts w:cs="Arial"/>
                <w:sz w:val="24"/>
              </w:rPr>
              <w:t xml:space="preserve"> encourage high attendance</w:t>
            </w:r>
            <w:r>
              <w:rPr>
                <w:rFonts w:cs="Arial"/>
                <w:sz w:val="24"/>
              </w:rPr>
              <w:t xml:space="preserve"> </w:t>
            </w:r>
            <w:r w:rsidR="00E06968">
              <w:rPr>
                <w:rFonts w:cs="Arial"/>
                <w:sz w:val="24"/>
              </w:rPr>
              <w:t xml:space="preserve">across the school. To contact families struggling with attendance and facilitate any support needed. To </w:t>
            </w:r>
            <w:r>
              <w:rPr>
                <w:rFonts w:cs="Arial"/>
                <w:sz w:val="24"/>
              </w:rPr>
              <w:t xml:space="preserve">support families across the school and to manage a family room to run sessions such as Job Club and budgeting group. To develop links with family learning and provide a range of sessions for parents about supporting their children at home. </w:t>
            </w:r>
          </w:p>
        </w:tc>
        <w:tc>
          <w:tcPr>
            <w:tcW w:w="5103" w:type="dxa"/>
          </w:tcPr>
          <w:p w:rsidR="00532973" w:rsidRPr="00472FF4" w:rsidRDefault="00532973" w:rsidP="0088548D">
            <w:pPr>
              <w:rPr>
                <w:rFonts w:cs="Arial"/>
                <w:sz w:val="24"/>
              </w:rPr>
            </w:pPr>
          </w:p>
        </w:tc>
      </w:tr>
      <w:tr w:rsidR="00E06968" w:rsidTr="0088548D">
        <w:tc>
          <w:tcPr>
            <w:tcW w:w="3114" w:type="dxa"/>
          </w:tcPr>
          <w:p w:rsidR="00E06968" w:rsidRDefault="00E06968" w:rsidP="00E06968">
            <w:pPr>
              <w:rPr>
                <w:rFonts w:cs="Arial"/>
                <w:sz w:val="24"/>
              </w:rPr>
            </w:pPr>
            <w:r>
              <w:rPr>
                <w:rFonts w:cs="Arial"/>
                <w:sz w:val="24"/>
              </w:rPr>
              <w:t>Recruitment of Pupil Premium Coordinator</w:t>
            </w:r>
          </w:p>
        </w:tc>
        <w:tc>
          <w:tcPr>
            <w:tcW w:w="1310" w:type="dxa"/>
          </w:tcPr>
          <w:p w:rsidR="00D31BEF" w:rsidRDefault="00D31BEF" w:rsidP="00D31BEF">
            <w:pPr>
              <w:rPr>
                <w:rFonts w:ascii="Calibri" w:hAnsi="Calibri"/>
                <w:color w:val="000000"/>
              </w:rPr>
            </w:pPr>
            <w:r>
              <w:rPr>
                <w:rFonts w:ascii="Calibri" w:hAnsi="Calibri"/>
                <w:color w:val="000000"/>
              </w:rPr>
              <w:t>£7,703</w:t>
            </w:r>
          </w:p>
          <w:p w:rsidR="00E06968" w:rsidRDefault="00E06968" w:rsidP="0088548D">
            <w:pPr>
              <w:rPr>
                <w:rFonts w:ascii="Calibri" w:hAnsi="Calibri"/>
                <w:color w:val="000000"/>
                <w:sz w:val="20"/>
                <w:szCs w:val="20"/>
              </w:rPr>
            </w:pPr>
          </w:p>
        </w:tc>
        <w:tc>
          <w:tcPr>
            <w:tcW w:w="5811" w:type="dxa"/>
          </w:tcPr>
          <w:p w:rsidR="00E06968" w:rsidRPr="00E06968" w:rsidRDefault="00E06968" w:rsidP="00E06968">
            <w:pPr>
              <w:autoSpaceDE w:val="0"/>
              <w:autoSpaceDN w:val="0"/>
              <w:adjustRightInd w:val="0"/>
              <w:rPr>
                <w:rFonts w:eastAsia="SimSun" w:cs="Arial"/>
                <w:sz w:val="24"/>
                <w:szCs w:val="24"/>
                <w:lang w:eastAsia="en-GB"/>
              </w:rPr>
            </w:pPr>
            <w:r w:rsidRPr="00E06968">
              <w:rPr>
                <w:rFonts w:eastAsia="SimSun" w:cs="Arial"/>
                <w:sz w:val="24"/>
                <w:szCs w:val="24"/>
                <w:lang w:eastAsia="en-GB"/>
              </w:rPr>
              <w:t>To monitor and track the extra provision children who are eligible for pupil premium are receiving. To liaise with external agencies in regard to particular pupils to ensure that the academy is providing appropriate support for the child. To interpret the recommendations from external professionals and disseminate these so that they are effectively implemented in the classroom</w:t>
            </w:r>
          </w:p>
        </w:tc>
        <w:tc>
          <w:tcPr>
            <w:tcW w:w="5103" w:type="dxa"/>
          </w:tcPr>
          <w:p w:rsidR="00E06968" w:rsidRPr="00472FF4" w:rsidRDefault="00E06968" w:rsidP="0088548D">
            <w:pPr>
              <w:rPr>
                <w:rFonts w:cs="Arial"/>
                <w:sz w:val="24"/>
              </w:rPr>
            </w:pPr>
          </w:p>
        </w:tc>
      </w:tr>
      <w:tr w:rsidR="00532973" w:rsidTr="0088548D">
        <w:tc>
          <w:tcPr>
            <w:tcW w:w="3114" w:type="dxa"/>
          </w:tcPr>
          <w:p w:rsidR="00532973" w:rsidRPr="00472FF4" w:rsidRDefault="00532973" w:rsidP="0088548D">
            <w:pPr>
              <w:rPr>
                <w:rFonts w:cs="Arial"/>
                <w:sz w:val="24"/>
              </w:rPr>
            </w:pPr>
            <w:r>
              <w:rPr>
                <w:rFonts w:cs="Arial"/>
                <w:sz w:val="24"/>
              </w:rPr>
              <w:t>Booster groups running across the school in reading, writing and maths</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£11,487.35</w:t>
            </w:r>
          </w:p>
          <w:p w:rsidR="00532973" w:rsidRDefault="00532973" w:rsidP="0088548D">
            <w:pPr>
              <w:rPr>
                <w:rFonts w:ascii="Calibri" w:eastAsia="Times New Roman" w:hAnsi="Calibri" w:cs="Times New Roman"/>
                <w:color w:val="000000"/>
                <w:lang w:eastAsia="en-GB"/>
              </w:rPr>
            </w:pPr>
          </w:p>
          <w:p w:rsidR="00532973" w:rsidRPr="005F576C" w:rsidRDefault="00532973" w:rsidP="0088548D">
            <w:pPr>
              <w:rPr>
                <w:rFonts w:ascii="Calibri" w:eastAsia="Times New Roman" w:hAnsi="Calibri" w:cs="Times New Roman"/>
                <w:color w:val="000000"/>
                <w:lang w:eastAsia="en-GB"/>
              </w:rPr>
            </w:pPr>
          </w:p>
        </w:tc>
        <w:tc>
          <w:tcPr>
            <w:tcW w:w="5811" w:type="dxa"/>
          </w:tcPr>
          <w:p w:rsidR="00532973" w:rsidRPr="00472FF4" w:rsidRDefault="00532973" w:rsidP="0088548D">
            <w:pPr>
              <w:rPr>
                <w:rFonts w:cs="Arial"/>
                <w:sz w:val="24"/>
              </w:rPr>
            </w:pPr>
            <w:r>
              <w:rPr>
                <w:rFonts w:cs="Arial"/>
                <w:sz w:val="24"/>
              </w:rPr>
              <w:t>To identify all PP children during pupil progress meetings and plan in intervention to ensure the gap is closing. To increase the % of PP children making at least expected progress</w:t>
            </w:r>
          </w:p>
        </w:tc>
        <w:tc>
          <w:tcPr>
            <w:tcW w:w="5103" w:type="dxa"/>
          </w:tcPr>
          <w:p w:rsidR="00532973" w:rsidRPr="00472FF4" w:rsidRDefault="00532973" w:rsidP="0088548D">
            <w:pPr>
              <w:rPr>
                <w:rFonts w:cs="Arial"/>
                <w:sz w:val="24"/>
              </w:rPr>
            </w:pPr>
          </w:p>
        </w:tc>
      </w:tr>
      <w:tr w:rsidR="00532973" w:rsidTr="0088548D">
        <w:tc>
          <w:tcPr>
            <w:tcW w:w="3114" w:type="dxa"/>
          </w:tcPr>
          <w:p w:rsidR="00532973" w:rsidRPr="00472FF4" w:rsidRDefault="00532973" w:rsidP="0088548D">
            <w:pPr>
              <w:rPr>
                <w:rFonts w:cs="Arial"/>
                <w:sz w:val="24"/>
              </w:rPr>
            </w:pPr>
            <w:r>
              <w:rPr>
                <w:rFonts w:cs="Arial"/>
                <w:sz w:val="24"/>
              </w:rPr>
              <w:t>1:1 daily reading support with a TA</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£8,596.50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To enable all PP pupils to be heard read at least 3 times a week by an adult. To increase the % of PP children making at least expected progress in reading</w:t>
            </w:r>
          </w:p>
        </w:tc>
        <w:tc>
          <w:tcPr>
            <w:tcW w:w="5103" w:type="dxa"/>
          </w:tcPr>
          <w:p w:rsidR="00532973" w:rsidRPr="00472FF4" w:rsidRDefault="00532973" w:rsidP="0088548D">
            <w:pPr>
              <w:rPr>
                <w:rFonts w:cs="Arial"/>
                <w:sz w:val="24"/>
              </w:rPr>
            </w:pPr>
          </w:p>
        </w:tc>
      </w:tr>
      <w:tr w:rsidR="00532973" w:rsidTr="0088548D">
        <w:tc>
          <w:tcPr>
            <w:tcW w:w="3114" w:type="dxa"/>
          </w:tcPr>
          <w:p w:rsidR="00532973" w:rsidRPr="000C17A4" w:rsidRDefault="00532973" w:rsidP="0088548D">
            <w:pPr>
              <w:rPr>
                <w:rFonts w:eastAsia="Batang"/>
                <w:bCs/>
                <w:szCs w:val="20"/>
              </w:rPr>
            </w:pPr>
            <w:r w:rsidRPr="000C17A4">
              <w:rPr>
                <w:rFonts w:eastAsia="Batang"/>
                <w:bCs/>
                <w:szCs w:val="20"/>
              </w:rPr>
              <w:t>Extra-curricular clubs provided free during lunchtime and after school (30 weeks)</w:t>
            </w:r>
          </w:p>
          <w:p w:rsidR="00532973" w:rsidRPr="00472FF4" w:rsidRDefault="00532973" w:rsidP="0088548D">
            <w:pPr>
              <w:rPr>
                <w:rFonts w:cs="Arial"/>
                <w:sz w:val="24"/>
              </w:rPr>
            </w:pPr>
          </w:p>
        </w:tc>
        <w:tc>
          <w:tcPr>
            <w:tcW w:w="1310" w:type="dxa"/>
          </w:tcPr>
          <w:p w:rsidR="00532973" w:rsidRDefault="00532973" w:rsidP="0088548D">
            <w:pPr>
              <w:rPr>
                <w:rFonts w:ascii="Calibri" w:hAnsi="Calibri"/>
                <w:color w:val="000000"/>
              </w:rPr>
            </w:pPr>
            <w:r>
              <w:rPr>
                <w:rFonts w:ascii="Calibri" w:hAnsi="Calibri"/>
                <w:color w:val="000000"/>
              </w:rPr>
              <w:t>£9,363.90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provide a wide variety of opportunities to participate in sport and other activities they might not be able to access at home due to financial constraints. These include a range of sports clubs, craft, computer, chess, cookery, drama etc. </w:t>
            </w:r>
          </w:p>
        </w:tc>
        <w:tc>
          <w:tcPr>
            <w:tcW w:w="5103" w:type="dxa"/>
          </w:tcPr>
          <w:p w:rsidR="00532973" w:rsidRPr="00472FF4" w:rsidRDefault="00532973" w:rsidP="0088548D">
            <w:pPr>
              <w:rPr>
                <w:rFonts w:cs="Arial"/>
                <w:sz w:val="24"/>
              </w:rPr>
            </w:pPr>
          </w:p>
        </w:tc>
      </w:tr>
      <w:tr w:rsidR="00532973" w:rsidRPr="00017286" w:rsidTr="0088548D">
        <w:trPr>
          <w:trHeight w:val="565"/>
        </w:trPr>
        <w:tc>
          <w:tcPr>
            <w:tcW w:w="15338" w:type="dxa"/>
            <w:gridSpan w:val="4"/>
            <w:shd w:val="clear" w:color="auto" w:fill="808080" w:themeFill="background1" w:themeFillShade="80"/>
          </w:tcPr>
          <w:p w:rsidR="00532973" w:rsidRPr="00017286" w:rsidRDefault="00532973" w:rsidP="005B37BC">
            <w:pPr>
              <w:jc w:val="center"/>
              <w:rPr>
                <w:rFonts w:cs="Arial"/>
                <w:b/>
                <w:color w:val="FFFFFF" w:themeColor="background1"/>
                <w:sz w:val="40"/>
              </w:rPr>
            </w:pPr>
            <w:r>
              <w:lastRenderedPageBreak/>
              <w:br w:type="page"/>
            </w:r>
            <w:r>
              <w:rPr>
                <w:rFonts w:cs="Arial"/>
                <w:b/>
                <w:color w:val="FFFFFF" w:themeColor="background1"/>
                <w:sz w:val="40"/>
              </w:rPr>
              <w:t>Itemised Record of</w:t>
            </w:r>
            <w:r w:rsidRPr="00017286">
              <w:rPr>
                <w:rFonts w:cs="Arial"/>
                <w:b/>
                <w:color w:val="FFFFFF" w:themeColor="background1"/>
                <w:sz w:val="40"/>
              </w:rPr>
              <w:t xml:space="preserve"> PPG Spending for 2</w:t>
            </w:r>
            <w:r w:rsidR="005B37BC">
              <w:rPr>
                <w:rFonts w:cs="Arial"/>
                <w:b/>
                <w:color w:val="FFFFFF" w:themeColor="background1"/>
                <w:sz w:val="40"/>
              </w:rPr>
              <w:t>016/2017</w:t>
            </w:r>
          </w:p>
        </w:tc>
      </w:tr>
      <w:tr w:rsidR="00532973" w:rsidRPr="00472FF4" w:rsidTr="0088548D">
        <w:trPr>
          <w:trHeight w:val="440"/>
        </w:trPr>
        <w:tc>
          <w:tcPr>
            <w:tcW w:w="3114"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Initiative</w:t>
            </w:r>
          </w:p>
        </w:tc>
        <w:tc>
          <w:tcPr>
            <w:tcW w:w="1310"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Cost</w:t>
            </w:r>
          </w:p>
        </w:tc>
        <w:tc>
          <w:tcPr>
            <w:tcW w:w="5811"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Objective</w:t>
            </w:r>
          </w:p>
        </w:tc>
        <w:tc>
          <w:tcPr>
            <w:tcW w:w="5103"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Outcome</w:t>
            </w:r>
          </w:p>
        </w:tc>
      </w:tr>
      <w:tr w:rsidR="00532973" w:rsidTr="0088548D">
        <w:trPr>
          <w:trHeight w:val="961"/>
        </w:trPr>
        <w:tc>
          <w:tcPr>
            <w:tcW w:w="3114" w:type="dxa"/>
          </w:tcPr>
          <w:p w:rsidR="00532973" w:rsidRPr="002A3658" w:rsidRDefault="00532973" w:rsidP="0088548D">
            <w:pPr>
              <w:rPr>
                <w:rFonts w:ascii="Calibri" w:hAnsi="Calibri"/>
                <w:bCs/>
                <w:sz w:val="24"/>
                <w:szCs w:val="20"/>
              </w:rPr>
            </w:pPr>
            <w:r w:rsidRPr="000C17A4">
              <w:rPr>
                <w:rFonts w:ascii="Calibri" w:hAnsi="Calibri"/>
                <w:bCs/>
                <w:sz w:val="24"/>
                <w:szCs w:val="20"/>
              </w:rPr>
              <w:t>Funding for PP children to attend breakfast and afterschool club</w:t>
            </w:r>
          </w:p>
        </w:tc>
        <w:tc>
          <w:tcPr>
            <w:tcW w:w="1310" w:type="dxa"/>
          </w:tcPr>
          <w:p w:rsidR="00D31BEF" w:rsidRDefault="00D31BEF" w:rsidP="00D31BEF">
            <w:pPr>
              <w:rPr>
                <w:rFonts w:ascii="Calibri" w:hAnsi="Calibri"/>
                <w:color w:val="000000"/>
                <w:sz w:val="20"/>
                <w:szCs w:val="20"/>
              </w:rPr>
            </w:pPr>
            <w:r>
              <w:rPr>
                <w:rFonts w:ascii="Calibri" w:hAnsi="Calibri"/>
                <w:color w:val="000000"/>
                <w:sz w:val="20"/>
                <w:szCs w:val="20"/>
              </w:rPr>
              <w:t>£2,229.00</w:t>
            </w:r>
          </w:p>
          <w:p w:rsidR="00532973" w:rsidRPr="00472FF4" w:rsidRDefault="00532973" w:rsidP="0088548D">
            <w:pPr>
              <w:rPr>
                <w:rFonts w:cs="Arial"/>
                <w:sz w:val="24"/>
              </w:rPr>
            </w:pPr>
          </w:p>
        </w:tc>
        <w:tc>
          <w:tcPr>
            <w:tcW w:w="5811" w:type="dxa"/>
          </w:tcPr>
          <w:p w:rsidR="00532973" w:rsidRPr="002A3658" w:rsidRDefault="00532973" w:rsidP="0088548D">
            <w:pPr>
              <w:rPr>
                <w:rFonts w:cs="Arial"/>
              </w:rPr>
            </w:pPr>
            <w:r w:rsidRPr="002A3658">
              <w:rPr>
                <w:rFonts w:cs="Arial"/>
              </w:rPr>
              <w:t xml:space="preserve">To enable families on a low income to attend a variety of meetings such as parenting courses or medical appointments. To increase attendance for specific PP children. </w:t>
            </w:r>
          </w:p>
        </w:tc>
        <w:tc>
          <w:tcPr>
            <w:tcW w:w="5103" w:type="dxa"/>
          </w:tcPr>
          <w:p w:rsidR="00532973" w:rsidRPr="002A3658" w:rsidRDefault="00532973" w:rsidP="0088548D">
            <w:pPr>
              <w:rPr>
                <w:rFonts w:cs="Arial"/>
              </w:rPr>
            </w:pPr>
          </w:p>
        </w:tc>
      </w:tr>
      <w:tr w:rsidR="00532973" w:rsidTr="0088548D">
        <w:tc>
          <w:tcPr>
            <w:tcW w:w="3114" w:type="dxa"/>
          </w:tcPr>
          <w:p w:rsidR="00532973" w:rsidRPr="000C17A4" w:rsidRDefault="00532973" w:rsidP="0088548D">
            <w:pPr>
              <w:rPr>
                <w:rFonts w:ascii="Calibri" w:hAnsi="Calibri"/>
                <w:bCs/>
                <w:sz w:val="24"/>
                <w:szCs w:val="20"/>
              </w:rPr>
            </w:pPr>
            <w:r w:rsidRPr="000C17A4">
              <w:rPr>
                <w:rFonts w:ascii="Calibri" w:hAnsi="Calibri"/>
                <w:bCs/>
                <w:sz w:val="24"/>
                <w:szCs w:val="20"/>
              </w:rPr>
              <w:t>Funding for Breakfast with  Buddy</w:t>
            </w:r>
          </w:p>
          <w:p w:rsidR="00532973"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£204.00</w:t>
            </w:r>
          </w:p>
          <w:p w:rsidR="00532973" w:rsidRDefault="00532973" w:rsidP="0088548D">
            <w:pPr>
              <w:rPr>
                <w:rFonts w:ascii="Calibri" w:eastAsia="Times New Roman" w:hAnsi="Calibri" w:cs="Times New Roman"/>
                <w:color w:val="000000"/>
                <w:lang w:eastAsia="en-GB"/>
              </w:rPr>
            </w:pPr>
          </w:p>
        </w:tc>
        <w:tc>
          <w:tcPr>
            <w:tcW w:w="5811" w:type="dxa"/>
          </w:tcPr>
          <w:p w:rsidR="00532973" w:rsidRDefault="00532973" w:rsidP="0088548D">
            <w:pPr>
              <w:rPr>
                <w:rFonts w:cs="Arial"/>
                <w:sz w:val="24"/>
              </w:rPr>
            </w:pPr>
            <w:r>
              <w:rPr>
                <w:rFonts w:cs="Arial"/>
                <w:sz w:val="24"/>
              </w:rPr>
              <w:t xml:space="preserve">To improve attendance and engagement of Pupil Premium children with low attendance. </w:t>
            </w:r>
          </w:p>
        </w:tc>
        <w:tc>
          <w:tcPr>
            <w:tcW w:w="5103" w:type="dxa"/>
          </w:tcPr>
          <w:p w:rsidR="00532973" w:rsidRDefault="00532973" w:rsidP="0088548D">
            <w:pPr>
              <w:rPr>
                <w:rFonts w:cs="Arial"/>
                <w:sz w:val="24"/>
              </w:rPr>
            </w:pPr>
          </w:p>
        </w:tc>
      </w:tr>
      <w:tr w:rsidR="00532973" w:rsidTr="0088548D">
        <w:tc>
          <w:tcPr>
            <w:tcW w:w="3114" w:type="dxa"/>
          </w:tcPr>
          <w:p w:rsidR="00532973" w:rsidRPr="00472FF4" w:rsidRDefault="00532973" w:rsidP="0088548D">
            <w:pPr>
              <w:rPr>
                <w:rFonts w:cs="Arial"/>
                <w:sz w:val="24"/>
              </w:rPr>
            </w:pPr>
            <w:r>
              <w:rPr>
                <w:rFonts w:cs="Arial"/>
                <w:sz w:val="24"/>
              </w:rPr>
              <w:t>Educational visits/ enrichment activities</w:t>
            </w:r>
          </w:p>
        </w:tc>
        <w:tc>
          <w:tcPr>
            <w:tcW w:w="1310" w:type="dxa"/>
          </w:tcPr>
          <w:p w:rsidR="00D31BEF" w:rsidRDefault="00D31BEF" w:rsidP="00D31BEF">
            <w:pPr>
              <w:rPr>
                <w:rFonts w:ascii="Calibri" w:hAnsi="Calibri"/>
                <w:color w:val="000000"/>
                <w:sz w:val="20"/>
                <w:szCs w:val="20"/>
              </w:rPr>
            </w:pPr>
            <w:r>
              <w:rPr>
                <w:rFonts w:ascii="Calibri" w:hAnsi="Calibri"/>
                <w:color w:val="000000"/>
                <w:sz w:val="20"/>
                <w:szCs w:val="20"/>
              </w:rPr>
              <w:t>£1,475.50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enable pupils to participate in a wide and enhanced curriculum and develop self-esteem.  </w:t>
            </w:r>
          </w:p>
        </w:tc>
        <w:tc>
          <w:tcPr>
            <w:tcW w:w="5103" w:type="dxa"/>
          </w:tcPr>
          <w:p w:rsidR="00532973" w:rsidRPr="00472FF4" w:rsidRDefault="00532973" w:rsidP="0088548D">
            <w:pPr>
              <w:rPr>
                <w:rFonts w:cs="Arial"/>
                <w:sz w:val="24"/>
              </w:rPr>
            </w:pPr>
          </w:p>
        </w:tc>
      </w:tr>
      <w:tr w:rsidR="00532973" w:rsidTr="0088548D">
        <w:tc>
          <w:tcPr>
            <w:tcW w:w="3114" w:type="dxa"/>
          </w:tcPr>
          <w:p w:rsidR="00532973" w:rsidRDefault="00532973" w:rsidP="0088548D">
            <w:pPr>
              <w:rPr>
                <w:rFonts w:cs="Arial"/>
                <w:sz w:val="24"/>
              </w:rPr>
            </w:pPr>
            <w:r>
              <w:rPr>
                <w:rFonts w:cs="Arial"/>
                <w:sz w:val="24"/>
              </w:rPr>
              <w:t>Purchase of school uniform where needed</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£97.50</w:t>
            </w:r>
          </w:p>
          <w:p w:rsidR="00532973" w:rsidRDefault="00532973" w:rsidP="0088548D">
            <w:pPr>
              <w:rPr>
                <w:rFonts w:ascii="Calibri" w:eastAsia="Times New Roman" w:hAnsi="Calibri" w:cs="Times New Roman"/>
                <w:color w:val="000000"/>
                <w:lang w:eastAsia="en-GB"/>
              </w:rPr>
            </w:pPr>
          </w:p>
        </w:tc>
        <w:tc>
          <w:tcPr>
            <w:tcW w:w="5811" w:type="dxa"/>
          </w:tcPr>
          <w:p w:rsidR="00532973" w:rsidRDefault="00532973" w:rsidP="0088548D">
            <w:pPr>
              <w:rPr>
                <w:rFonts w:cs="Arial"/>
                <w:sz w:val="24"/>
              </w:rPr>
            </w:pPr>
            <w:r>
              <w:rPr>
                <w:rFonts w:cs="Arial"/>
                <w:sz w:val="24"/>
              </w:rPr>
              <w:t xml:space="preserve">To enable all pupils access to appropriate clothing </w:t>
            </w:r>
          </w:p>
        </w:tc>
        <w:tc>
          <w:tcPr>
            <w:tcW w:w="5103" w:type="dxa"/>
          </w:tcPr>
          <w:p w:rsidR="00532973" w:rsidRDefault="00532973" w:rsidP="0088548D">
            <w:pPr>
              <w:rPr>
                <w:rFonts w:cs="Arial"/>
                <w:sz w:val="24"/>
              </w:rPr>
            </w:pPr>
          </w:p>
        </w:tc>
      </w:tr>
      <w:tr w:rsidR="00532973" w:rsidTr="0088548D">
        <w:tc>
          <w:tcPr>
            <w:tcW w:w="3114" w:type="dxa"/>
          </w:tcPr>
          <w:p w:rsidR="00532973" w:rsidRPr="000C17A4" w:rsidRDefault="00532973" w:rsidP="0088548D">
            <w:pPr>
              <w:rPr>
                <w:rFonts w:ascii="Calibri" w:hAnsi="Calibri"/>
                <w:bCs/>
                <w:sz w:val="24"/>
                <w:szCs w:val="20"/>
              </w:rPr>
            </w:pPr>
            <w:proofErr w:type="spellStart"/>
            <w:r w:rsidRPr="000C17A4">
              <w:rPr>
                <w:rFonts w:ascii="Calibri" w:hAnsi="Calibri"/>
                <w:bCs/>
                <w:sz w:val="24"/>
                <w:szCs w:val="20"/>
              </w:rPr>
              <w:t>Bandtime</w:t>
            </w:r>
            <w:proofErr w:type="spellEnd"/>
            <w:r w:rsidRPr="000C17A4">
              <w:rPr>
                <w:rFonts w:ascii="Calibri" w:hAnsi="Calibri"/>
                <w:bCs/>
                <w:sz w:val="24"/>
                <w:szCs w:val="20"/>
              </w:rPr>
              <w:t xml:space="preserve"> music project</w:t>
            </w:r>
          </w:p>
          <w:p w:rsidR="00532973"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£2,340.00</w:t>
            </w:r>
          </w:p>
          <w:p w:rsidR="00532973" w:rsidRDefault="00532973" w:rsidP="0088548D">
            <w:pPr>
              <w:rPr>
                <w:rFonts w:ascii="Calibri" w:eastAsia="Times New Roman" w:hAnsi="Calibri" w:cs="Times New Roman"/>
                <w:color w:val="000000"/>
                <w:lang w:eastAsia="en-GB"/>
              </w:rPr>
            </w:pPr>
          </w:p>
        </w:tc>
        <w:tc>
          <w:tcPr>
            <w:tcW w:w="5811" w:type="dxa"/>
          </w:tcPr>
          <w:p w:rsidR="00532973" w:rsidRPr="002A3658" w:rsidRDefault="00532973" w:rsidP="0088548D">
            <w:pPr>
              <w:rPr>
                <w:rFonts w:cs="Arial"/>
              </w:rPr>
            </w:pPr>
            <w:r w:rsidRPr="002A3658">
              <w:rPr>
                <w:rFonts w:cs="Arial"/>
              </w:rPr>
              <w:t>To broaden experiences and horizons on a cultural level. To boost academic attainment in maths in Year 4 and 5.</w:t>
            </w:r>
          </w:p>
          <w:p w:rsidR="00532973" w:rsidRPr="002A3658" w:rsidRDefault="00532973" w:rsidP="0088548D">
            <w:pPr>
              <w:rPr>
                <w:rFonts w:cs="Arial"/>
              </w:rPr>
            </w:pPr>
            <w:r w:rsidRPr="002A3658">
              <w:rPr>
                <w:rFonts w:cs="Arial"/>
              </w:rPr>
              <w:t>To boost confidence and the value of working together with children in Year 4 and 5.</w:t>
            </w:r>
          </w:p>
        </w:tc>
        <w:tc>
          <w:tcPr>
            <w:tcW w:w="5103" w:type="dxa"/>
          </w:tcPr>
          <w:p w:rsidR="00532973" w:rsidRPr="002A3658" w:rsidRDefault="00532973" w:rsidP="0088548D">
            <w:pPr>
              <w:rPr>
                <w:rFonts w:cs="Arial"/>
              </w:rPr>
            </w:pPr>
          </w:p>
        </w:tc>
      </w:tr>
      <w:tr w:rsidR="00532973" w:rsidTr="0088548D">
        <w:tc>
          <w:tcPr>
            <w:tcW w:w="3114" w:type="dxa"/>
          </w:tcPr>
          <w:p w:rsidR="00532973" w:rsidRPr="000C17A4" w:rsidRDefault="00DB57C4" w:rsidP="00DB57C4">
            <w:pPr>
              <w:rPr>
                <w:rFonts w:ascii="Calibri" w:hAnsi="Calibri"/>
                <w:bCs/>
                <w:sz w:val="24"/>
                <w:szCs w:val="20"/>
              </w:rPr>
            </w:pPr>
            <w:r>
              <w:rPr>
                <w:rFonts w:ascii="Calibri" w:hAnsi="Calibri"/>
                <w:bCs/>
                <w:sz w:val="24"/>
                <w:szCs w:val="20"/>
              </w:rPr>
              <w:t>Weekly peer writing sessions</w:t>
            </w:r>
          </w:p>
        </w:tc>
        <w:tc>
          <w:tcPr>
            <w:tcW w:w="1310" w:type="dxa"/>
          </w:tcPr>
          <w:p w:rsidR="00532973" w:rsidRDefault="00532973" w:rsidP="0088548D">
            <w:pPr>
              <w:rPr>
                <w:rFonts w:ascii="Calibri" w:hAnsi="Calibri"/>
                <w:color w:val="000000"/>
              </w:rPr>
            </w:pPr>
            <w:r>
              <w:rPr>
                <w:rFonts w:ascii="Calibri" w:hAnsi="Calibri"/>
                <w:color w:val="000000"/>
              </w:rPr>
              <w:t>£</w:t>
            </w:r>
            <w:r w:rsidR="00D31BEF">
              <w:rPr>
                <w:rFonts w:ascii="Calibri" w:hAnsi="Calibri"/>
                <w:color w:val="000000"/>
              </w:rPr>
              <w:t>870</w:t>
            </w:r>
          </w:p>
          <w:p w:rsidR="00532973" w:rsidRDefault="00532973" w:rsidP="0088548D">
            <w:pPr>
              <w:rPr>
                <w:rFonts w:ascii="Calibri" w:hAnsi="Calibri"/>
                <w:color w:val="000000"/>
              </w:rPr>
            </w:pPr>
          </w:p>
        </w:tc>
        <w:tc>
          <w:tcPr>
            <w:tcW w:w="5811" w:type="dxa"/>
          </w:tcPr>
          <w:p w:rsidR="00532973" w:rsidRPr="00472FF4" w:rsidRDefault="00DB57C4" w:rsidP="00DB57C4">
            <w:pPr>
              <w:rPr>
                <w:rFonts w:cs="Arial"/>
                <w:sz w:val="24"/>
              </w:rPr>
            </w:pPr>
            <w:r>
              <w:rPr>
                <w:rFonts w:cs="Arial"/>
                <w:sz w:val="24"/>
              </w:rPr>
              <w:t>To improve the outcomes in writing for Pupil Premium children.</w:t>
            </w:r>
          </w:p>
        </w:tc>
        <w:tc>
          <w:tcPr>
            <w:tcW w:w="5103" w:type="dxa"/>
          </w:tcPr>
          <w:p w:rsidR="00532973" w:rsidRPr="00472FF4" w:rsidRDefault="00532973" w:rsidP="0088548D">
            <w:pPr>
              <w:rPr>
                <w:rFonts w:cs="Arial"/>
                <w:sz w:val="24"/>
              </w:rPr>
            </w:pPr>
          </w:p>
        </w:tc>
      </w:tr>
      <w:tr w:rsidR="00532973" w:rsidTr="0088548D">
        <w:tc>
          <w:tcPr>
            <w:tcW w:w="3114" w:type="dxa"/>
          </w:tcPr>
          <w:p w:rsidR="00532973" w:rsidRPr="000C17A4" w:rsidRDefault="00532973" w:rsidP="0088548D">
            <w:pPr>
              <w:rPr>
                <w:rFonts w:ascii="Calibri" w:hAnsi="Calibri"/>
                <w:bCs/>
                <w:sz w:val="24"/>
                <w:szCs w:val="20"/>
              </w:rPr>
            </w:pPr>
            <w:r w:rsidRPr="00435E16">
              <w:rPr>
                <w:rFonts w:ascii="Calibri" w:hAnsi="Calibri"/>
                <w:bCs/>
                <w:sz w:val="24"/>
                <w:szCs w:val="20"/>
              </w:rPr>
              <w:t xml:space="preserve">TA support for new PP children arrived in school </w:t>
            </w:r>
            <w:r>
              <w:rPr>
                <w:rFonts w:ascii="Calibri" w:hAnsi="Calibri"/>
                <w:bCs/>
                <w:sz w:val="24"/>
                <w:szCs w:val="20"/>
              </w:rPr>
              <w:t xml:space="preserve">throughout </w:t>
            </w:r>
            <w:r w:rsidRPr="00435E16">
              <w:rPr>
                <w:rFonts w:ascii="Calibri" w:hAnsi="Calibri"/>
                <w:bCs/>
                <w:sz w:val="24"/>
                <w:szCs w:val="20"/>
              </w:rPr>
              <w:t>the year</w:t>
            </w:r>
          </w:p>
        </w:tc>
        <w:tc>
          <w:tcPr>
            <w:tcW w:w="1310" w:type="dxa"/>
          </w:tcPr>
          <w:p w:rsidR="00532973" w:rsidRDefault="00532973" w:rsidP="0088548D">
            <w:pPr>
              <w:rPr>
                <w:rFonts w:ascii="Calibri" w:hAnsi="Calibri"/>
                <w:color w:val="000000"/>
              </w:rPr>
            </w:pPr>
            <w:r>
              <w:rPr>
                <w:rFonts w:ascii="Calibri" w:hAnsi="Calibri"/>
                <w:color w:val="000000"/>
              </w:rPr>
              <w:t>£1,112.10</w:t>
            </w:r>
          </w:p>
          <w:p w:rsidR="00532973" w:rsidRDefault="00532973" w:rsidP="0088548D">
            <w:pPr>
              <w:rPr>
                <w:rFonts w:ascii="Calibri" w:hAnsi="Calibri"/>
                <w:color w:val="000000"/>
              </w:rPr>
            </w:pPr>
          </w:p>
        </w:tc>
        <w:tc>
          <w:tcPr>
            <w:tcW w:w="5811" w:type="dxa"/>
          </w:tcPr>
          <w:p w:rsidR="00532973" w:rsidRPr="002A3658" w:rsidRDefault="00532973" w:rsidP="0088548D">
            <w:pPr>
              <w:rPr>
                <w:rFonts w:cs="Arial"/>
              </w:rPr>
            </w:pPr>
            <w:r w:rsidRPr="002A3658">
              <w:rPr>
                <w:rFonts w:cs="Arial"/>
              </w:rPr>
              <w:t>To ensure the transition for pupils arriving at school mid-year is smooth. To ensure pupils make progress from assessed starting points and early interventions are put into place.</w:t>
            </w:r>
          </w:p>
        </w:tc>
        <w:tc>
          <w:tcPr>
            <w:tcW w:w="5103" w:type="dxa"/>
          </w:tcPr>
          <w:p w:rsidR="00532973" w:rsidRDefault="00532973" w:rsidP="0088548D">
            <w:pPr>
              <w:rPr>
                <w:rFonts w:cs="Arial"/>
                <w:sz w:val="24"/>
              </w:rPr>
            </w:pPr>
          </w:p>
        </w:tc>
      </w:tr>
      <w:tr w:rsidR="005F5AFF" w:rsidTr="0088548D">
        <w:tc>
          <w:tcPr>
            <w:tcW w:w="3114" w:type="dxa"/>
          </w:tcPr>
          <w:p w:rsidR="005F5AFF" w:rsidRPr="00435E16" w:rsidRDefault="005F5AFF" w:rsidP="0088548D">
            <w:pPr>
              <w:rPr>
                <w:rFonts w:ascii="Calibri" w:hAnsi="Calibri"/>
                <w:bCs/>
                <w:sz w:val="24"/>
                <w:szCs w:val="20"/>
              </w:rPr>
            </w:pPr>
            <w:r>
              <w:rPr>
                <w:rFonts w:ascii="Calibri" w:hAnsi="Calibri"/>
                <w:bCs/>
                <w:sz w:val="24"/>
                <w:szCs w:val="20"/>
              </w:rPr>
              <w:t xml:space="preserve">TA support during </w:t>
            </w:r>
            <w:proofErr w:type="spellStart"/>
            <w:r>
              <w:rPr>
                <w:rFonts w:ascii="Calibri" w:hAnsi="Calibri"/>
                <w:bCs/>
                <w:sz w:val="24"/>
                <w:szCs w:val="20"/>
              </w:rPr>
              <w:t>breaktimes</w:t>
            </w:r>
            <w:proofErr w:type="spellEnd"/>
            <w:r>
              <w:rPr>
                <w:rFonts w:ascii="Calibri" w:hAnsi="Calibri"/>
                <w:bCs/>
                <w:sz w:val="24"/>
                <w:szCs w:val="20"/>
              </w:rPr>
              <w:t xml:space="preserve"> and lunchtimes</w:t>
            </w:r>
          </w:p>
        </w:tc>
        <w:tc>
          <w:tcPr>
            <w:tcW w:w="1310" w:type="dxa"/>
          </w:tcPr>
          <w:p w:rsidR="005F5AFF" w:rsidRDefault="005F5AFF" w:rsidP="0088548D">
            <w:pPr>
              <w:rPr>
                <w:rFonts w:ascii="Calibri" w:hAnsi="Calibri"/>
                <w:color w:val="000000"/>
              </w:rPr>
            </w:pPr>
            <w:r>
              <w:rPr>
                <w:rFonts w:ascii="Calibri" w:hAnsi="Calibri"/>
                <w:color w:val="000000"/>
              </w:rPr>
              <w:t>£17,197.50</w:t>
            </w:r>
          </w:p>
        </w:tc>
        <w:tc>
          <w:tcPr>
            <w:tcW w:w="5811" w:type="dxa"/>
          </w:tcPr>
          <w:p w:rsidR="005F5AFF" w:rsidRPr="002A3658" w:rsidRDefault="005F5AFF" w:rsidP="0088548D">
            <w:pPr>
              <w:rPr>
                <w:rFonts w:cs="Arial"/>
              </w:rPr>
            </w:pPr>
            <w:r>
              <w:rPr>
                <w:rFonts w:cs="Arial"/>
              </w:rPr>
              <w:t>To ensure play is productive and children enter classrooms ready to learn.</w:t>
            </w:r>
          </w:p>
        </w:tc>
        <w:tc>
          <w:tcPr>
            <w:tcW w:w="5103" w:type="dxa"/>
          </w:tcPr>
          <w:p w:rsidR="005F5AFF" w:rsidRDefault="005F5AFF" w:rsidP="0088548D">
            <w:pPr>
              <w:rPr>
                <w:rFonts w:cs="Arial"/>
                <w:sz w:val="24"/>
              </w:rPr>
            </w:pPr>
          </w:p>
        </w:tc>
      </w:tr>
      <w:tr w:rsidR="00532973" w:rsidTr="0088548D">
        <w:tc>
          <w:tcPr>
            <w:tcW w:w="3114" w:type="dxa"/>
          </w:tcPr>
          <w:p w:rsidR="00532973" w:rsidRPr="00435E16" w:rsidRDefault="00532973" w:rsidP="0088548D">
            <w:pPr>
              <w:rPr>
                <w:rFonts w:ascii="Calibri" w:hAnsi="Calibri"/>
                <w:bCs/>
                <w:sz w:val="24"/>
              </w:rPr>
            </w:pPr>
            <w:r w:rsidRPr="00435E16">
              <w:rPr>
                <w:rFonts w:ascii="Calibri" w:hAnsi="Calibri"/>
                <w:bCs/>
                <w:sz w:val="24"/>
              </w:rPr>
              <w:t>Weekly Reading Sessions at the Royal Latin</w:t>
            </w:r>
          </w:p>
          <w:p w:rsidR="00532973" w:rsidRPr="00472FF4" w:rsidRDefault="00532973" w:rsidP="0088548D">
            <w:pPr>
              <w:rPr>
                <w:rFonts w:cs="Arial"/>
                <w:sz w:val="24"/>
              </w:rPr>
            </w:pPr>
          </w:p>
        </w:tc>
        <w:tc>
          <w:tcPr>
            <w:tcW w:w="1310" w:type="dxa"/>
          </w:tcPr>
          <w:p w:rsidR="00532973" w:rsidRDefault="00532973" w:rsidP="0088548D">
            <w:pPr>
              <w:rPr>
                <w:rFonts w:ascii="Calibri" w:hAnsi="Calibri"/>
                <w:color w:val="000000"/>
              </w:rPr>
            </w:pPr>
            <w:r>
              <w:rPr>
                <w:rFonts w:ascii="Calibri" w:hAnsi="Calibri"/>
                <w:color w:val="000000"/>
              </w:rPr>
              <w:t>£2,111.70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To raise aspiration and form relationships with positive role models at the local grammar school. To increase the % of PP children making at least expected progress in reading</w:t>
            </w:r>
          </w:p>
        </w:tc>
        <w:tc>
          <w:tcPr>
            <w:tcW w:w="5103" w:type="dxa"/>
          </w:tcPr>
          <w:p w:rsidR="00532973" w:rsidRPr="002A3658" w:rsidRDefault="00532973" w:rsidP="0088548D">
            <w:pPr>
              <w:rPr>
                <w:rFonts w:cs="Arial"/>
              </w:rPr>
            </w:pPr>
          </w:p>
        </w:tc>
      </w:tr>
      <w:tr w:rsidR="00DB57C4" w:rsidTr="0088548D">
        <w:tc>
          <w:tcPr>
            <w:tcW w:w="3114" w:type="dxa"/>
          </w:tcPr>
          <w:p w:rsidR="00DB57C4" w:rsidRPr="00435E16" w:rsidRDefault="00DB57C4" w:rsidP="0088548D">
            <w:pPr>
              <w:rPr>
                <w:rFonts w:ascii="Calibri" w:hAnsi="Calibri"/>
                <w:bCs/>
                <w:sz w:val="24"/>
              </w:rPr>
            </w:pPr>
            <w:r>
              <w:rPr>
                <w:rFonts w:ascii="Calibri" w:hAnsi="Calibri"/>
                <w:bCs/>
                <w:sz w:val="24"/>
              </w:rPr>
              <w:t>Play therapy, drama therapy</w:t>
            </w:r>
            <w:r w:rsidR="00D31BEF">
              <w:rPr>
                <w:rFonts w:ascii="Calibri" w:hAnsi="Calibri"/>
                <w:bCs/>
                <w:sz w:val="24"/>
              </w:rPr>
              <w:t>, Nurture Sessions</w:t>
            </w:r>
          </w:p>
        </w:tc>
        <w:tc>
          <w:tcPr>
            <w:tcW w:w="1310" w:type="dxa"/>
          </w:tcPr>
          <w:p w:rsidR="00DB57C4" w:rsidRDefault="00D31BEF" w:rsidP="0088548D">
            <w:pPr>
              <w:rPr>
                <w:rFonts w:ascii="Calibri" w:hAnsi="Calibri"/>
                <w:color w:val="000000"/>
              </w:rPr>
            </w:pPr>
            <w:r>
              <w:rPr>
                <w:rFonts w:ascii="Calibri" w:hAnsi="Calibri"/>
                <w:color w:val="000000"/>
              </w:rPr>
              <w:t>£1,560</w:t>
            </w:r>
          </w:p>
        </w:tc>
        <w:tc>
          <w:tcPr>
            <w:tcW w:w="5811" w:type="dxa"/>
          </w:tcPr>
          <w:p w:rsidR="00DB57C4" w:rsidRDefault="00DB57C4" w:rsidP="0088548D">
            <w:pPr>
              <w:rPr>
                <w:rFonts w:cs="Arial"/>
                <w:sz w:val="24"/>
              </w:rPr>
            </w:pPr>
            <w:r>
              <w:rPr>
                <w:rFonts w:cs="Arial"/>
                <w:sz w:val="24"/>
              </w:rPr>
              <w:t>To support children struggling to come to terms with past trauma in their lives</w:t>
            </w:r>
          </w:p>
        </w:tc>
        <w:tc>
          <w:tcPr>
            <w:tcW w:w="5103" w:type="dxa"/>
          </w:tcPr>
          <w:p w:rsidR="00DB57C4" w:rsidRPr="002A3658" w:rsidRDefault="00DB57C4" w:rsidP="0088548D">
            <w:pPr>
              <w:rPr>
                <w:rFonts w:cs="Arial"/>
              </w:rPr>
            </w:pPr>
          </w:p>
        </w:tc>
      </w:tr>
      <w:tr w:rsidR="00532973" w:rsidTr="0088548D">
        <w:trPr>
          <w:trHeight w:val="316"/>
        </w:trPr>
        <w:tc>
          <w:tcPr>
            <w:tcW w:w="15338" w:type="dxa"/>
            <w:gridSpan w:val="4"/>
            <w:tcBorders>
              <w:left w:val="nil"/>
              <w:bottom w:val="nil"/>
              <w:right w:val="nil"/>
            </w:tcBorders>
          </w:tcPr>
          <w:p w:rsidR="00532973" w:rsidRPr="009E3182" w:rsidRDefault="00532973" w:rsidP="0088548D">
            <w:pPr>
              <w:rPr>
                <w:rFonts w:cs="Arial"/>
                <w:sz w:val="16"/>
              </w:rPr>
            </w:pPr>
          </w:p>
        </w:tc>
      </w:tr>
      <w:tr w:rsidR="00532973" w:rsidTr="0088548D">
        <w:tc>
          <w:tcPr>
            <w:tcW w:w="3114" w:type="dxa"/>
            <w:tcBorders>
              <w:top w:val="single" w:sz="4" w:space="0" w:color="auto"/>
            </w:tcBorders>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Total PPG received</w:t>
            </w:r>
          </w:p>
        </w:tc>
        <w:tc>
          <w:tcPr>
            <w:tcW w:w="1310" w:type="dxa"/>
            <w:tcBorders>
              <w:top w:val="single" w:sz="4" w:space="0" w:color="auto"/>
            </w:tcBorders>
          </w:tcPr>
          <w:p w:rsidR="00532973" w:rsidRPr="005F5AFF" w:rsidRDefault="005F5AFF" w:rsidP="0088548D">
            <w:pPr>
              <w:jc w:val="center"/>
              <w:rPr>
                <w:rFonts w:ascii="Calibri" w:hAnsi="Calibri"/>
                <w:color w:val="000000"/>
              </w:rPr>
            </w:pPr>
            <w:r w:rsidRPr="005F5AFF">
              <w:rPr>
                <w:rFonts w:ascii="Calibri" w:hAnsi="Calibri"/>
                <w:color w:val="000000"/>
                <w:szCs w:val="28"/>
              </w:rPr>
              <w:t>£67,280</w:t>
            </w:r>
          </w:p>
        </w:tc>
        <w:tc>
          <w:tcPr>
            <w:tcW w:w="10914" w:type="dxa"/>
            <w:gridSpan w:val="2"/>
            <w:vMerge w:val="restart"/>
            <w:tcBorders>
              <w:top w:val="nil"/>
              <w:right w:val="nil"/>
            </w:tcBorders>
          </w:tcPr>
          <w:p w:rsidR="00532973" w:rsidRPr="00472FF4" w:rsidRDefault="00532973" w:rsidP="0088548D">
            <w:pPr>
              <w:rPr>
                <w:rFonts w:cs="Arial"/>
                <w:sz w:val="24"/>
              </w:rPr>
            </w:pPr>
          </w:p>
        </w:tc>
      </w:tr>
      <w:tr w:rsidR="00532973" w:rsidTr="0088548D">
        <w:tc>
          <w:tcPr>
            <w:tcW w:w="3114" w:type="dxa"/>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Total PPG expenditure</w:t>
            </w:r>
          </w:p>
        </w:tc>
        <w:tc>
          <w:tcPr>
            <w:tcW w:w="1310" w:type="dxa"/>
            <w:vAlign w:val="center"/>
          </w:tcPr>
          <w:p w:rsidR="00532973" w:rsidRDefault="005F5AFF" w:rsidP="005F5AFF">
            <w:pPr>
              <w:jc w:val="center"/>
              <w:rPr>
                <w:rFonts w:ascii="Calibri" w:hAnsi="Calibri"/>
                <w:color w:val="000000"/>
              </w:rPr>
            </w:pPr>
            <w:r>
              <w:rPr>
                <w:rFonts w:ascii="Calibri" w:hAnsi="Calibri"/>
                <w:color w:val="000000"/>
              </w:rPr>
              <w:t>£72,613.80</w:t>
            </w:r>
          </w:p>
        </w:tc>
        <w:tc>
          <w:tcPr>
            <w:tcW w:w="10914" w:type="dxa"/>
            <w:gridSpan w:val="2"/>
            <w:vMerge/>
            <w:tcBorders>
              <w:right w:val="nil"/>
            </w:tcBorders>
          </w:tcPr>
          <w:p w:rsidR="00532973" w:rsidRPr="00472FF4" w:rsidRDefault="00532973" w:rsidP="0088548D">
            <w:pPr>
              <w:rPr>
                <w:rFonts w:cs="Arial"/>
                <w:sz w:val="24"/>
              </w:rPr>
            </w:pPr>
          </w:p>
        </w:tc>
      </w:tr>
      <w:tr w:rsidR="00532973" w:rsidTr="0088548D">
        <w:tc>
          <w:tcPr>
            <w:tcW w:w="3114" w:type="dxa"/>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PPG remaining</w:t>
            </w:r>
          </w:p>
        </w:tc>
        <w:tc>
          <w:tcPr>
            <w:tcW w:w="1310" w:type="dxa"/>
            <w:vAlign w:val="center"/>
          </w:tcPr>
          <w:p w:rsidR="00532973" w:rsidRDefault="00532973" w:rsidP="0088548D">
            <w:pPr>
              <w:jc w:val="center"/>
              <w:rPr>
                <w:rFonts w:ascii="Calibri" w:hAnsi="Calibri"/>
                <w:color w:val="000000"/>
              </w:rPr>
            </w:pPr>
            <w:r>
              <w:rPr>
                <w:rFonts w:ascii="Calibri" w:hAnsi="Calibri"/>
                <w:color w:val="000000"/>
              </w:rPr>
              <w:t>-£3,931.75</w:t>
            </w:r>
          </w:p>
        </w:tc>
        <w:tc>
          <w:tcPr>
            <w:tcW w:w="10914" w:type="dxa"/>
            <w:gridSpan w:val="2"/>
            <w:vMerge/>
            <w:tcBorders>
              <w:bottom w:val="nil"/>
              <w:right w:val="nil"/>
            </w:tcBorders>
          </w:tcPr>
          <w:p w:rsidR="00532973" w:rsidRPr="00472FF4" w:rsidRDefault="00532973" w:rsidP="0088548D">
            <w:pPr>
              <w:rPr>
                <w:rFonts w:cs="Arial"/>
                <w:sz w:val="24"/>
              </w:rPr>
            </w:pPr>
          </w:p>
        </w:tc>
      </w:tr>
    </w:tbl>
    <w:p w:rsidR="00452E9A" w:rsidRPr="005F5AFF" w:rsidRDefault="00452E9A" w:rsidP="00532973">
      <w:pPr>
        <w:rPr>
          <w:rFonts w:cs="Arial"/>
          <w:sz w:val="2"/>
          <w:vertAlign w:val="superscript"/>
        </w:rPr>
      </w:pPr>
    </w:p>
    <w:sectPr w:rsidR="00452E9A" w:rsidRPr="005F5AFF" w:rsidSect="001C3D0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45"/>
    <w:multiLevelType w:val="hybridMultilevel"/>
    <w:tmpl w:val="B89CA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27AA5"/>
    <w:multiLevelType w:val="hybridMultilevel"/>
    <w:tmpl w:val="CDDC1D4E"/>
    <w:lvl w:ilvl="0" w:tplc="2F7047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52138"/>
    <w:multiLevelType w:val="hybridMultilevel"/>
    <w:tmpl w:val="4F18D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E7A26"/>
    <w:multiLevelType w:val="hybridMultilevel"/>
    <w:tmpl w:val="8EEC8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96891"/>
    <w:multiLevelType w:val="hybridMultilevel"/>
    <w:tmpl w:val="A6A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F"/>
    <w:rsid w:val="00014C50"/>
    <w:rsid w:val="00017286"/>
    <w:rsid w:val="00043FC4"/>
    <w:rsid w:val="000F0CB5"/>
    <w:rsid w:val="0016556F"/>
    <w:rsid w:val="001A3144"/>
    <w:rsid w:val="001C3D0C"/>
    <w:rsid w:val="001E6C22"/>
    <w:rsid w:val="00265E71"/>
    <w:rsid w:val="002A0A3E"/>
    <w:rsid w:val="002B2252"/>
    <w:rsid w:val="002B4600"/>
    <w:rsid w:val="002E2B64"/>
    <w:rsid w:val="002F44A0"/>
    <w:rsid w:val="0034162D"/>
    <w:rsid w:val="00341FDA"/>
    <w:rsid w:val="003A76D1"/>
    <w:rsid w:val="003B6A7F"/>
    <w:rsid w:val="004001AB"/>
    <w:rsid w:val="00452E9A"/>
    <w:rsid w:val="00464902"/>
    <w:rsid w:val="00472FF4"/>
    <w:rsid w:val="00487F3F"/>
    <w:rsid w:val="004A5E0F"/>
    <w:rsid w:val="00532973"/>
    <w:rsid w:val="0055027C"/>
    <w:rsid w:val="005B37BC"/>
    <w:rsid w:val="005B59B2"/>
    <w:rsid w:val="005F576C"/>
    <w:rsid w:val="005F5AFF"/>
    <w:rsid w:val="005F7152"/>
    <w:rsid w:val="00600A13"/>
    <w:rsid w:val="006300E6"/>
    <w:rsid w:val="006E67D2"/>
    <w:rsid w:val="0075263C"/>
    <w:rsid w:val="00766D8B"/>
    <w:rsid w:val="007F04D4"/>
    <w:rsid w:val="00806773"/>
    <w:rsid w:val="0086619C"/>
    <w:rsid w:val="00987498"/>
    <w:rsid w:val="009901C7"/>
    <w:rsid w:val="00AB3903"/>
    <w:rsid w:val="00B5154D"/>
    <w:rsid w:val="00B5547F"/>
    <w:rsid w:val="00B85F49"/>
    <w:rsid w:val="00C005B8"/>
    <w:rsid w:val="00C969E9"/>
    <w:rsid w:val="00D31BEF"/>
    <w:rsid w:val="00D5210E"/>
    <w:rsid w:val="00DB57C4"/>
    <w:rsid w:val="00E06968"/>
    <w:rsid w:val="00E175E7"/>
    <w:rsid w:val="00E771F2"/>
    <w:rsid w:val="00E93D64"/>
    <w:rsid w:val="00EB7587"/>
    <w:rsid w:val="00EF41D3"/>
    <w:rsid w:val="00EF4AA2"/>
    <w:rsid w:val="00F42F14"/>
    <w:rsid w:val="00FE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AC8D9-5C61-4EF1-90C0-42BE282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E71"/>
    <w:pPr>
      <w:ind w:left="720"/>
      <w:contextualSpacing/>
    </w:pPr>
  </w:style>
  <w:style w:type="paragraph" w:customStyle="1" w:styleId="Default">
    <w:name w:val="Default"/>
    <w:rsid w:val="00F42F1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42F14"/>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881">
      <w:bodyDiv w:val="1"/>
      <w:marLeft w:val="0"/>
      <w:marRight w:val="0"/>
      <w:marTop w:val="0"/>
      <w:marBottom w:val="0"/>
      <w:divBdr>
        <w:top w:val="none" w:sz="0" w:space="0" w:color="auto"/>
        <w:left w:val="none" w:sz="0" w:space="0" w:color="auto"/>
        <w:bottom w:val="none" w:sz="0" w:space="0" w:color="auto"/>
        <w:right w:val="none" w:sz="0" w:space="0" w:color="auto"/>
      </w:divBdr>
    </w:div>
    <w:div w:id="341127765">
      <w:bodyDiv w:val="1"/>
      <w:marLeft w:val="0"/>
      <w:marRight w:val="0"/>
      <w:marTop w:val="0"/>
      <w:marBottom w:val="0"/>
      <w:divBdr>
        <w:top w:val="none" w:sz="0" w:space="0" w:color="auto"/>
        <w:left w:val="none" w:sz="0" w:space="0" w:color="auto"/>
        <w:bottom w:val="none" w:sz="0" w:space="0" w:color="auto"/>
        <w:right w:val="none" w:sz="0" w:space="0" w:color="auto"/>
      </w:divBdr>
    </w:div>
    <w:div w:id="343476172">
      <w:bodyDiv w:val="1"/>
      <w:marLeft w:val="0"/>
      <w:marRight w:val="0"/>
      <w:marTop w:val="0"/>
      <w:marBottom w:val="0"/>
      <w:divBdr>
        <w:top w:val="none" w:sz="0" w:space="0" w:color="auto"/>
        <w:left w:val="none" w:sz="0" w:space="0" w:color="auto"/>
        <w:bottom w:val="none" w:sz="0" w:space="0" w:color="auto"/>
        <w:right w:val="none" w:sz="0" w:space="0" w:color="auto"/>
      </w:divBdr>
    </w:div>
    <w:div w:id="1049963585">
      <w:bodyDiv w:val="1"/>
      <w:marLeft w:val="0"/>
      <w:marRight w:val="0"/>
      <w:marTop w:val="0"/>
      <w:marBottom w:val="0"/>
      <w:divBdr>
        <w:top w:val="none" w:sz="0" w:space="0" w:color="auto"/>
        <w:left w:val="none" w:sz="0" w:space="0" w:color="auto"/>
        <w:bottom w:val="none" w:sz="0" w:space="0" w:color="auto"/>
        <w:right w:val="none" w:sz="0" w:space="0" w:color="auto"/>
      </w:divBdr>
    </w:div>
    <w:div w:id="1125150794">
      <w:bodyDiv w:val="1"/>
      <w:marLeft w:val="0"/>
      <w:marRight w:val="0"/>
      <w:marTop w:val="0"/>
      <w:marBottom w:val="0"/>
      <w:divBdr>
        <w:top w:val="none" w:sz="0" w:space="0" w:color="auto"/>
        <w:left w:val="none" w:sz="0" w:space="0" w:color="auto"/>
        <w:bottom w:val="none" w:sz="0" w:space="0" w:color="auto"/>
        <w:right w:val="none" w:sz="0" w:space="0" w:color="auto"/>
      </w:divBdr>
    </w:div>
    <w:div w:id="1394234056">
      <w:bodyDiv w:val="1"/>
      <w:marLeft w:val="0"/>
      <w:marRight w:val="0"/>
      <w:marTop w:val="0"/>
      <w:marBottom w:val="0"/>
      <w:divBdr>
        <w:top w:val="none" w:sz="0" w:space="0" w:color="auto"/>
        <w:left w:val="none" w:sz="0" w:space="0" w:color="auto"/>
        <w:bottom w:val="none" w:sz="0" w:space="0" w:color="auto"/>
        <w:right w:val="none" w:sz="0" w:space="0" w:color="auto"/>
      </w:divBdr>
    </w:div>
    <w:div w:id="19354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GGA</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Killick</dc:creator>
  <cp:keywords/>
  <dc:description/>
  <cp:lastModifiedBy>Clare Haynes</cp:lastModifiedBy>
  <cp:revision>2</cp:revision>
  <cp:lastPrinted>2017-02-19T11:14:00Z</cp:lastPrinted>
  <dcterms:created xsi:type="dcterms:W3CDTF">2017-02-20T14:13:00Z</dcterms:created>
  <dcterms:modified xsi:type="dcterms:W3CDTF">2017-02-20T14:13:00Z</dcterms:modified>
</cp:coreProperties>
</file>